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B091" w14:textId="10022812" w:rsidR="003D12CB" w:rsidRPr="003D12CB" w:rsidRDefault="003D12CB" w:rsidP="00C55140">
      <w:pPr>
        <w:pStyle w:val="Title"/>
        <w:jc w:val="center"/>
        <w:rPr>
          <w:rFonts w:ascii="Oswald SemiBold" w:hAnsi="Oswald SemiBold"/>
          <w:sz w:val="28"/>
          <w:szCs w:val="28"/>
        </w:rPr>
      </w:pPr>
      <w:r w:rsidRPr="003D12CB">
        <w:rPr>
          <w:rFonts w:ascii="Oswald SemiBold" w:hAnsi="Oswald SemiBold"/>
          <w:sz w:val="28"/>
          <w:szCs w:val="28"/>
        </w:rPr>
        <w:t>ONLINE ALAT ZA AUTOMATSKO KREIRANJE ZAHTJEVA ZA SLOBODAN PRISTUP INFORMACIJAMA</w:t>
      </w:r>
    </w:p>
    <w:p w14:paraId="1D7E16F3" w14:textId="53124847" w:rsidR="003D12CB" w:rsidRPr="003D12CB" w:rsidRDefault="003D12CB" w:rsidP="003D12CB">
      <w:pPr>
        <w:pStyle w:val="Subtitle"/>
      </w:pPr>
      <w:r w:rsidRPr="003D12CB">
        <w:t>Tehničke specifikacije</w:t>
      </w:r>
    </w:p>
    <w:p w14:paraId="334BBFCD" w14:textId="1614228C" w:rsidR="00FB4896" w:rsidRDefault="00FB4896" w:rsidP="00FB4896">
      <w:r>
        <w:t>Transparency International u Bosni i Hercegovini (TI BiH) i Udruženje Vaša prava BiH (VPBiH) raspisuju javni poziv za izbor kompanije za razvoj online alata za generisanje zahtjeva za slobodan pristup informacijama (FOIA). Ovaj alat će služiti građanima, medijima i organizacijama civilnog društva za automatsko kreiranje FOIA zahtjeva, te pružanje relevantnih informacija o njihovim pravima na pristup informacijama i korištenje zakonskih prava za traženje pravne zaštite.</w:t>
      </w:r>
    </w:p>
    <w:p w14:paraId="0570A8CC" w14:textId="0BBE140E" w:rsidR="005E002A" w:rsidRDefault="005E002A" w:rsidP="00FB4896">
      <w:r w:rsidRPr="005E002A">
        <w:t xml:space="preserve">Alat "FOI Generator" je </w:t>
      </w:r>
      <w:r w:rsidR="003D12CB">
        <w:t>se kreira sa ciljem</w:t>
      </w:r>
      <w:r w:rsidRPr="005E002A">
        <w:t xml:space="preserve"> da korisnicima omoguć</w:t>
      </w:r>
      <w:r w:rsidR="003D12CB">
        <w:t>i</w:t>
      </w:r>
      <w:r w:rsidRPr="005E002A">
        <w:t xml:space="preserve"> jednostavno i intuitivno kreiranje zahtjeva za slobodan pristup informacijama kroz nekoliko koraka. Korisnik će biti vođen kroz proces unosa potrebnih informacija, a alat će automatski generisati zahtjev koji korisnik može preuzeti u PDF formatu, odštampati, potpisati i poslati na odgovarajuću adresu. Alat automatski uključuje sve potrebne detalje kao što su adresa institucije, datum i relevantni zakonski osnov.</w:t>
      </w:r>
    </w:p>
    <w:p w14:paraId="04BF4CC8" w14:textId="1D8A8E0D" w:rsidR="00E84CA7" w:rsidRDefault="00E84CA7" w:rsidP="00FB4896">
      <w:r w:rsidRPr="00E84CA7">
        <w:t>Ovaj alat je osmišljen da pojednostavi proces kreiranja zahtjeva za slobodan pristup informacijama, automatski uključujući sve potrebne podatke i omogućavajući korisnicima da jednostavno preuzmu, štampaju i pošalju svoje zahtjeve.</w:t>
      </w:r>
    </w:p>
    <w:p w14:paraId="2303E788" w14:textId="77777777" w:rsidR="00FB4896" w:rsidRDefault="00FB4896" w:rsidP="00FB4896">
      <w:pPr>
        <w:pStyle w:val="Heading2"/>
      </w:pPr>
      <w:r>
        <w:t>1. Ciljevi i Funkcionalnosti</w:t>
      </w:r>
    </w:p>
    <w:p w14:paraId="1C21A099" w14:textId="77777777" w:rsidR="00FB4896" w:rsidRDefault="00FB4896" w:rsidP="00FB4896">
      <w:r>
        <w:t>Alat će omogućiti korisnicima:</w:t>
      </w:r>
    </w:p>
    <w:p w14:paraId="0C3359B1" w14:textId="23968F40" w:rsidR="00FB4896" w:rsidRDefault="00FB4896" w:rsidP="00FB4896">
      <w:pPr>
        <w:pStyle w:val="ListParagraph"/>
        <w:numPr>
          <w:ilvl w:val="0"/>
          <w:numId w:val="20"/>
        </w:numPr>
      </w:pPr>
      <w:r>
        <w:t xml:space="preserve">Automatsko generisanje </w:t>
      </w:r>
      <w:r w:rsidR="008D34DC">
        <w:t>Z</w:t>
      </w:r>
      <w:r>
        <w:t xml:space="preserve">ahtjeva </w:t>
      </w:r>
      <w:r w:rsidR="008D34DC">
        <w:t xml:space="preserve">građana za slobodan pristup informacija od javnih organa na temelju </w:t>
      </w:r>
      <w:r>
        <w:t>unosa potrebnih informacija.</w:t>
      </w:r>
    </w:p>
    <w:p w14:paraId="29048F61" w14:textId="42FF2085" w:rsidR="00FB4896" w:rsidRDefault="00FB4896" w:rsidP="00FB4896">
      <w:pPr>
        <w:pStyle w:val="ListParagraph"/>
        <w:numPr>
          <w:ilvl w:val="0"/>
          <w:numId w:val="20"/>
        </w:numPr>
      </w:pPr>
      <w:r>
        <w:t xml:space="preserve">Izbor </w:t>
      </w:r>
      <w:r w:rsidR="008D34DC">
        <w:t>organa</w:t>
      </w:r>
      <w:r>
        <w:t xml:space="preserve"> </w:t>
      </w:r>
      <w:r w:rsidR="00C55140">
        <w:t>od</w:t>
      </w:r>
      <w:r>
        <w:t xml:space="preserve"> koj</w:t>
      </w:r>
      <w:r w:rsidR="00C55140">
        <w:t>eg</w:t>
      </w:r>
      <w:r>
        <w:t xml:space="preserve"> se traže informacije iz unaprijed definisanog registra institucija</w:t>
      </w:r>
      <w:r w:rsidR="008D34DC">
        <w:t xml:space="preserve"> sa adresom i potrebnim detaljima</w:t>
      </w:r>
      <w:r>
        <w:t>.</w:t>
      </w:r>
      <w:r w:rsidR="00E84CA7">
        <w:t xml:space="preserve"> </w:t>
      </w:r>
      <w:r w:rsidR="0001434C">
        <w:t xml:space="preserve">Navedeni detalji sa registrom dostupnih organa i njihovim adresama će biti dostavljen od strane naručioca u </w:t>
      </w:r>
      <w:r w:rsidR="00B7105A">
        <w:t>tabelarnom prikazu.</w:t>
      </w:r>
    </w:p>
    <w:p w14:paraId="2EFD38EE" w14:textId="55EAEC68" w:rsidR="00FB4896" w:rsidRDefault="00FB4896" w:rsidP="00FB4896">
      <w:pPr>
        <w:pStyle w:val="ListParagraph"/>
        <w:numPr>
          <w:ilvl w:val="0"/>
          <w:numId w:val="20"/>
        </w:numPr>
      </w:pPr>
      <w:r>
        <w:t xml:space="preserve">Automatsko praćenje </w:t>
      </w:r>
      <w:r w:rsidR="00925ED8">
        <w:t xml:space="preserve">rokova za slanje urgencija i žalbi na osnovu </w:t>
      </w:r>
      <w:r>
        <w:t xml:space="preserve">generisanih zahtjeva i </w:t>
      </w:r>
      <w:r w:rsidR="00925ED8">
        <w:t xml:space="preserve">slanje podsjetnika </w:t>
      </w:r>
      <w:r>
        <w:t>korisni</w:t>
      </w:r>
      <w:r w:rsidR="00925ED8">
        <w:t>cima koji su izabrali tu mogućnost</w:t>
      </w:r>
      <w:r>
        <w:t xml:space="preserve"> o njihovim pravima u slučaju nedobijanja odgovora.</w:t>
      </w:r>
    </w:p>
    <w:p w14:paraId="437DE13F" w14:textId="47B3FF33" w:rsidR="00FB4896" w:rsidRDefault="00FB4896" w:rsidP="00FB4896">
      <w:pPr>
        <w:pStyle w:val="ListParagraph"/>
        <w:numPr>
          <w:ilvl w:val="0"/>
          <w:numId w:val="20"/>
        </w:numPr>
      </w:pPr>
      <w:r>
        <w:t>Kreiranje, pregledanje, prepravljanje i prilagođavanje urgencija i žalbi</w:t>
      </w:r>
      <w:r w:rsidR="00925ED8">
        <w:t xml:space="preserve"> prije preuzimanja i štampanja</w:t>
      </w:r>
      <w:r>
        <w:t>.</w:t>
      </w:r>
    </w:p>
    <w:p w14:paraId="4F36FF1C" w14:textId="18EDD3B6" w:rsidR="00FB4896" w:rsidRDefault="00FB4896" w:rsidP="00FB4896">
      <w:pPr>
        <w:pStyle w:val="ListParagraph"/>
        <w:numPr>
          <w:ilvl w:val="0"/>
          <w:numId w:val="20"/>
        </w:numPr>
      </w:pPr>
      <w:r>
        <w:t>Dobijanje pravne pomoći od strane projektnih partnera (TI BiH i VPBiH) u slučaju potrebe za pripremom i slan</w:t>
      </w:r>
      <w:r w:rsidR="00C55140">
        <w:t>njem zahtjeva</w:t>
      </w:r>
      <w:r>
        <w:t>.</w:t>
      </w:r>
    </w:p>
    <w:p w14:paraId="0BE5AB1E" w14:textId="77777777" w:rsidR="00FB4896" w:rsidRDefault="00FB4896" w:rsidP="00FB4896">
      <w:pPr>
        <w:pStyle w:val="ListParagraph"/>
        <w:numPr>
          <w:ilvl w:val="0"/>
          <w:numId w:val="20"/>
        </w:numPr>
      </w:pPr>
      <w:r>
        <w:lastRenderedPageBreak/>
        <w:t>Poštovanje GDPR propisa i zaštitu privatnosti korisnika.</w:t>
      </w:r>
    </w:p>
    <w:p w14:paraId="52E0D848" w14:textId="019F577F" w:rsidR="009D5EB8" w:rsidRDefault="009D5EB8" w:rsidP="00FB4896">
      <w:pPr>
        <w:pStyle w:val="ListParagraph"/>
        <w:numPr>
          <w:ilvl w:val="0"/>
          <w:numId w:val="20"/>
        </w:numPr>
      </w:pPr>
      <w:r>
        <w:t>Prikaz promotivnog materijala</w:t>
      </w:r>
      <w:r w:rsidR="00F56E13">
        <w:t xml:space="preserve">, edukativnog sadržaja (foto, video, tekst), izvještaja i ostalih relevantnih </w:t>
      </w:r>
      <w:r w:rsidR="00972A9E">
        <w:t>sadržaja za oblast slobode pristupa informacijama kao i korišćenja alata i</w:t>
      </w:r>
      <w:r w:rsidR="00A55670">
        <w:t xml:space="preserve"> upoznavanje građana sa pravima iz ove oblasti.</w:t>
      </w:r>
    </w:p>
    <w:p w14:paraId="04E25E7E" w14:textId="77777777" w:rsidR="00FB4896" w:rsidRDefault="00FB4896" w:rsidP="00FB4896">
      <w:pPr>
        <w:pStyle w:val="Heading2"/>
      </w:pPr>
      <w:r>
        <w:t>2. Tehničke Specifikacije</w:t>
      </w:r>
    </w:p>
    <w:p w14:paraId="3A5CB41E" w14:textId="77777777" w:rsidR="00FB4896" w:rsidRDefault="00FB4896" w:rsidP="00FB4896">
      <w:pPr>
        <w:pStyle w:val="ListParagraph"/>
        <w:numPr>
          <w:ilvl w:val="0"/>
          <w:numId w:val="22"/>
        </w:numPr>
      </w:pPr>
      <w:r w:rsidRPr="00FB4896">
        <w:rPr>
          <w:b/>
          <w:bCs/>
        </w:rPr>
        <w:t>Platforma</w:t>
      </w:r>
      <w:r>
        <w:t>: Alat treba biti web-based i kompatibilan sa svim modernim web preglednicima.</w:t>
      </w:r>
    </w:p>
    <w:p w14:paraId="1176A5F6" w14:textId="5D51F82D" w:rsidR="00FB4896" w:rsidRDefault="00FB4896" w:rsidP="00FB4896">
      <w:pPr>
        <w:pStyle w:val="ListParagraph"/>
        <w:numPr>
          <w:ilvl w:val="0"/>
          <w:numId w:val="22"/>
        </w:numPr>
      </w:pPr>
      <w:r w:rsidRPr="00FB4896">
        <w:rPr>
          <w:b/>
          <w:bCs/>
        </w:rPr>
        <w:t>Tehnologije</w:t>
      </w:r>
      <w:r>
        <w:t>: Prednost će biti data tehnologijama koje su open-source rješenja te koje omogućavaju visok stepen kontrole nad samim proizvodom naručiocu. Ponuđači mogu predložiti i druge tehnologije koje smatraju pogodnijima</w:t>
      </w:r>
      <w:r w:rsidR="00940709">
        <w:t xml:space="preserve"> za implementaciju projekta</w:t>
      </w:r>
      <w:r>
        <w:t>.</w:t>
      </w:r>
    </w:p>
    <w:p w14:paraId="0FC997A6" w14:textId="16B9B9CE" w:rsidR="00FB4896" w:rsidRDefault="00FB4896" w:rsidP="00FB4896">
      <w:pPr>
        <w:pStyle w:val="ListParagraph"/>
        <w:numPr>
          <w:ilvl w:val="0"/>
          <w:numId w:val="22"/>
        </w:numPr>
      </w:pPr>
      <w:r w:rsidRPr="00FB4896">
        <w:rPr>
          <w:b/>
          <w:bCs/>
        </w:rPr>
        <w:t xml:space="preserve">GDPR </w:t>
      </w:r>
      <w:r>
        <w:rPr>
          <w:b/>
          <w:bCs/>
        </w:rPr>
        <w:t>u</w:t>
      </w:r>
      <w:r w:rsidRPr="00FB4896">
        <w:rPr>
          <w:b/>
          <w:bCs/>
        </w:rPr>
        <w:t>sklađenost</w:t>
      </w:r>
      <w:r>
        <w:t>: Alat mora biti u potpunosti usklađen sa GDPR regulativama, uključujući pravila EU i zakone u BiH</w:t>
      </w:r>
      <w:r w:rsidR="00940709">
        <w:t xml:space="preserve"> u pogledu zaštite privatnosti korisnika</w:t>
      </w:r>
      <w:r>
        <w:t>.</w:t>
      </w:r>
    </w:p>
    <w:p w14:paraId="43CB8782" w14:textId="3FD981C3" w:rsidR="00FB4896" w:rsidRDefault="00FB4896" w:rsidP="00FB4896">
      <w:pPr>
        <w:pStyle w:val="ListParagraph"/>
        <w:numPr>
          <w:ilvl w:val="0"/>
          <w:numId w:val="22"/>
        </w:numPr>
      </w:pPr>
      <w:r w:rsidRPr="00FB4896">
        <w:rPr>
          <w:b/>
          <w:bCs/>
        </w:rPr>
        <w:t>Jezici i pisma</w:t>
      </w:r>
      <w:r>
        <w:t xml:space="preserve">: Alat treba biti dostupan na zvaničnim jezicima u BiH (bosanski, hrvatski, srpski) </w:t>
      </w:r>
      <w:r w:rsidR="00CB2A7A">
        <w:t xml:space="preserve">te po mogućnosti </w:t>
      </w:r>
      <w:r>
        <w:t>podržavati ćirilično i latinično pismo.</w:t>
      </w:r>
    </w:p>
    <w:p w14:paraId="721A55A6" w14:textId="51F1FDAF" w:rsidR="00FB4896" w:rsidRDefault="00FB4896" w:rsidP="00FB4896">
      <w:pPr>
        <w:pStyle w:val="ListParagraph"/>
        <w:numPr>
          <w:ilvl w:val="0"/>
          <w:numId w:val="22"/>
        </w:numPr>
      </w:pPr>
      <w:r w:rsidRPr="00FB4896">
        <w:rPr>
          <w:b/>
          <w:bCs/>
        </w:rPr>
        <w:t>Analitika</w:t>
      </w:r>
      <w:r>
        <w:t>: Alat treba omogućiti jednostavno povezivanje sa Google Analytics i drugim alatima za praćenje posjeta koje korist</w:t>
      </w:r>
      <w:r w:rsidR="00CB2A7A">
        <w:t>i</w:t>
      </w:r>
      <w:r>
        <w:t xml:space="preserve"> naručioc </w:t>
      </w:r>
      <w:r w:rsidRPr="00FB4896">
        <w:t>(TI BiH i VPBiH)</w:t>
      </w:r>
      <w:r>
        <w:t>.</w:t>
      </w:r>
    </w:p>
    <w:p w14:paraId="7754AFD2" w14:textId="637CF626" w:rsidR="00FB4896" w:rsidRDefault="00FB4896" w:rsidP="00FB4896">
      <w:pPr>
        <w:pStyle w:val="ListParagraph"/>
        <w:numPr>
          <w:ilvl w:val="0"/>
          <w:numId w:val="22"/>
        </w:numPr>
      </w:pPr>
      <w:r w:rsidRPr="00FB4896">
        <w:rPr>
          <w:b/>
          <w:bCs/>
        </w:rPr>
        <w:t>Sigurnost</w:t>
      </w:r>
      <w:r>
        <w:t>: Alat mora ispunjavati visoke standarde sigurnosti podataka, uključujući SSL enkripciju i ostale standarde koji omogućavaju visok stepen zaštite identiteta korisnika alata i sprječavaju moguće zloupotrebe sistema.</w:t>
      </w:r>
    </w:p>
    <w:p w14:paraId="06EA0880" w14:textId="77777777" w:rsidR="00FB4896" w:rsidRDefault="00FB4896" w:rsidP="00FB4896">
      <w:pPr>
        <w:pStyle w:val="Heading2"/>
      </w:pPr>
      <w:r>
        <w:t>3. UI/UX Dizajn</w:t>
      </w:r>
    </w:p>
    <w:p w14:paraId="2A88651A" w14:textId="7840D78B" w:rsidR="00125691" w:rsidRDefault="00FB4896" w:rsidP="00125691">
      <w:r>
        <w:t xml:space="preserve">Uz tehničku dokumentaciju dostavlja se i </w:t>
      </w:r>
      <w:r w:rsidRPr="00FB4896">
        <w:rPr>
          <w:i/>
          <w:iCs/>
        </w:rPr>
        <w:t>mockup</w:t>
      </w:r>
      <w:r>
        <w:t xml:space="preserve"> koji prikazuje željeni</w:t>
      </w:r>
      <w:r w:rsidR="00C52BFB">
        <w:t xml:space="preserve"> izgled</w:t>
      </w:r>
      <w:r>
        <w:t xml:space="preserve"> UI/UX</w:t>
      </w:r>
      <w:r w:rsidR="00C52BFB">
        <w:t xml:space="preserve"> rješenja kom bi trebalo težiti</w:t>
      </w:r>
      <w:r>
        <w:t>.</w:t>
      </w:r>
      <w:r w:rsidR="00C52BFB">
        <w:t xml:space="preserve"> </w:t>
      </w:r>
      <w:r w:rsidR="00125691">
        <w:t xml:space="preserve">Predloženi izgled UI/UX rješenja služi kao vodilja </w:t>
      </w:r>
      <w:r w:rsidR="00125691" w:rsidRPr="00605C0F">
        <w:rPr>
          <w:b/>
          <w:bCs/>
        </w:rPr>
        <w:t>ali ne i ograničenje</w:t>
      </w:r>
      <w:r w:rsidR="00125691">
        <w:t>. Ukoliko ponuđač smatra da se određeni dijelovi dizajna mogu prilagoditi specifičnim potrebama i vrsti projekta kao i prirodi podataka koji se prikazuju, takvi prijedlozi su dobrodošli.</w:t>
      </w:r>
    </w:p>
    <w:p w14:paraId="66D746C6" w14:textId="2A93E12E" w:rsidR="00125691" w:rsidRDefault="00125691" w:rsidP="00125691">
      <w:r>
        <w:t>Svi vizuelni elementi dizajna bi trebalo da su rađeni po mobile first principu, ukoliko je moguće,</w:t>
      </w:r>
      <w:r w:rsidR="00605C0F">
        <w:t xml:space="preserve"> </w:t>
      </w:r>
      <w:r>
        <w:t>odnosno da su maksimalno prilagođeni korišćenju na uređajima različite veličine ekrana.</w:t>
      </w:r>
    </w:p>
    <w:p w14:paraId="68F20C01" w14:textId="42BC81DB" w:rsidR="00FB4896" w:rsidRDefault="00FB4896" w:rsidP="00FB4896">
      <w:pPr>
        <w:pStyle w:val="Heading2"/>
      </w:pPr>
      <w:r>
        <w:t xml:space="preserve">4. Implementacija i </w:t>
      </w:r>
      <w:r w:rsidR="00CC3813">
        <w:t>o</w:t>
      </w:r>
      <w:r>
        <w:t>državanje</w:t>
      </w:r>
    </w:p>
    <w:p w14:paraId="6FA2C447" w14:textId="41D623CD" w:rsidR="00FB4896" w:rsidRDefault="00FB4896" w:rsidP="00FB4896">
      <w:pPr>
        <w:pStyle w:val="ListParagraph"/>
        <w:numPr>
          <w:ilvl w:val="0"/>
          <w:numId w:val="24"/>
        </w:numPr>
      </w:pPr>
      <w:r w:rsidRPr="00FB4896">
        <w:rPr>
          <w:b/>
          <w:bCs/>
        </w:rPr>
        <w:t>Rok za implementaciju</w:t>
      </w:r>
      <w:r>
        <w:t xml:space="preserve">: Rok za završetak i implementaciju alata je </w:t>
      </w:r>
      <w:r w:rsidR="000239AD">
        <w:t>60</w:t>
      </w:r>
      <w:r>
        <w:t xml:space="preserve"> dana od datuma potpisivanja ugovora (može se promijeniti).</w:t>
      </w:r>
    </w:p>
    <w:p w14:paraId="5250BBF9" w14:textId="4E5B82DC" w:rsidR="00FB4896" w:rsidRDefault="00FB4896" w:rsidP="00FB4896">
      <w:pPr>
        <w:pStyle w:val="ListParagraph"/>
        <w:numPr>
          <w:ilvl w:val="0"/>
          <w:numId w:val="24"/>
        </w:numPr>
      </w:pPr>
      <w:bookmarkStart w:id="0" w:name="_GoBack"/>
      <w:r w:rsidRPr="00FB4896">
        <w:rPr>
          <w:b/>
          <w:bCs/>
        </w:rPr>
        <w:t>Hosting</w:t>
      </w:r>
      <w:r>
        <w:t>:</w:t>
      </w:r>
      <w:r w:rsidR="006E3FC5">
        <w:t xml:space="preserve"> Ponuda bi trebalo da sadrži i</w:t>
      </w:r>
      <w:r w:rsidR="00A712CC">
        <w:t xml:space="preserve"> uslugu zakupa domena i hostinga </w:t>
      </w:r>
      <w:r w:rsidR="00D1418A">
        <w:t>za</w:t>
      </w:r>
      <w:r w:rsidR="00A712CC">
        <w:t xml:space="preserve"> </w:t>
      </w:r>
      <w:r w:rsidR="00F47DE6">
        <w:t xml:space="preserve">vrijeme </w:t>
      </w:r>
      <w:r w:rsidR="00A712CC">
        <w:t>trajanja garantnog roka</w:t>
      </w:r>
      <w:r w:rsidR="00A45BA8">
        <w:t>, kao i cijenu zakupa domene i hostinga nakon isteka garantnog roka.</w:t>
      </w:r>
    </w:p>
    <w:bookmarkEnd w:id="0"/>
    <w:p w14:paraId="7E4813BF" w14:textId="767BE7D8" w:rsidR="00FB4896" w:rsidRDefault="00FB4896" w:rsidP="002D366E">
      <w:pPr>
        <w:pStyle w:val="ListParagraph"/>
        <w:numPr>
          <w:ilvl w:val="0"/>
          <w:numId w:val="24"/>
        </w:numPr>
      </w:pPr>
      <w:r w:rsidRPr="0049484B">
        <w:rPr>
          <w:b/>
          <w:bCs/>
        </w:rPr>
        <w:lastRenderedPageBreak/>
        <w:t>Održavanje i podrška</w:t>
      </w:r>
      <w:r>
        <w:t xml:space="preserve">: </w:t>
      </w:r>
      <w:r w:rsidR="0049484B">
        <w:t>Trajanje garantnog perioda je 24 mjeseca od potpisivanja izvještaja o primopredaji. Garantni period podrazumijeva mogućnost izmjene bilo kog dijela sistema i otklanjanje eventualnih grešaka i nedostataka uočenih u radu. Detalje održavanja, ispravljanja nedostataka i dodavanja novih funkcionalnosti nakon ovog perioda ponuđač će navesti u ponudi, zajedno sa jasno i razgovjetno naznačenim cjenovnikom i načinom obračuna cijene koštanja takve usluge.</w:t>
      </w:r>
    </w:p>
    <w:p w14:paraId="2E2A93DA" w14:textId="3B19B990" w:rsidR="00FB4896" w:rsidRDefault="00FB4896" w:rsidP="00FB4896">
      <w:pPr>
        <w:pStyle w:val="Heading2"/>
      </w:pPr>
      <w:r>
        <w:t>5. Dokumentacija i obuka</w:t>
      </w:r>
    </w:p>
    <w:p w14:paraId="16EDEB15" w14:textId="44D6B217" w:rsidR="00FB4896" w:rsidRDefault="00FB4896" w:rsidP="00FB4896">
      <w:r w:rsidRPr="00FB4896">
        <w:rPr>
          <w:b/>
          <w:bCs/>
        </w:rPr>
        <w:t>Dokumentacija</w:t>
      </w:r>
      <w:r>
        <w:t xml:space="preserve">: </w:t>
      </w:r>
      <w:r w:rsidR="009246EF">
        <w:t xml:space="preserve">Ponuđač </w:t>
      </w:r>
      <w:r>
        <w:t>je duž</w:t>
      </w:r>
      <w:r w:rsidR="009246EF">
        <w:t>an</w:t>
      </w:r>
      <w:r>
        <w:t xml:space="preserve"> dostaviti detaljnu tehničku i korisničku dokumentaciju</w:t>
      </w:r>
      <w:r w:rsidR="009246EF">
        <w:t xml:space="preserve"> koja je potrebna za</w:t>
      </w:r>
      <w:r w:rsidR="00B23D07">
        <w:t xml:space="preserve"> korišćenje i održavanje alata</w:t>
      </w:r>
      <w:r>
        <w:t>.</w:t>
      </w:r>
    </w:p>
    <w:p w14:paraId="40604870" w14:textId="6C892DFC" w:rsidR="00FB4896" w:rsidRDefault="00FB4896" w:rsidP="00FB4896">
      <w:r w:rsidRPr="00FB4896">
        <w:rPr>
          <w:b/>
          <w:bCs/>
        </w:rPr>
        <w:t>Obuka</w:t>
      </w:r>
      <w:r>
        <w:t xml:space="preserve">: </w:t>
      </w:r>
      <w:r w:rsidR="00E21292">
        <w:t>U sklopu ponude je p</w:t>
      </w:r>
      <w:r>
        <w:t xml:space="preserve">otrebno obezbijediti </w:t>
      </w:r>
      <w:r w:rsidR="00E21292">
        <w:t xml:space="preserve">uslugu </w:t>
      </w:r>
      <w:r>
        <w:t>obuk</w:t>
      </w:r>
      <w:r w:rsidR="00E21292">
        <w:t>e</w:t>
      </w:r>
      <w:r>
        <w:t xml:space="preserve"> za administratore i korisnike alata</w:t>
      </w:r>
      <w:r w:rsidR="00E21292">
        <w:t>.</w:t>
      </w:r>
    </w:p>
    <w:p w14:paraId="4AC90519" w14:textId="3D4718F5" w:rsidR="003D313A" w:rsidRDefault="00702F97" w:rsidP="003D313A">
      <w:pPr>
        <w:pStyle w:val="Heading2"/>
      </w:pPr>
      <w:r>
        <w:t>6</w:t>
      </w:r>
      <w:r w:rsidR="003D313A">
        <w:t>. Opis UI/UX rješenja</w:t>
      </w:r>
    </w:p>
    <w:p w14:paraId="45A2E914" w14:textId="20898110" w:rsidR="005E002A" w:rsidRDefault="005E002A" w:rsidP="003D313A">
      <w:pPr>
        <w:pStyle w:val="Heading3"/>
      </w:pPr>
      <w:r w:rsidRPr="005E002A">
        <w:t xml:space="preserve">Stranica 1: </w:t>
      </w:r>
      <w:r>
        <w:t>Po</w:t>
      </w:r>
      <w:r>
        <w:rPr>
          <w:rFonts w:ascii="Calibri" w:hAnsi="Calibri" w:cs="Calibri"/>
        </w:rPr>
        <w:t>č</w:t>
      </w:r>
      <w:r>
        <w:t xml:space="preserve">eta </w:t>
      </w:r>
      <w:r w:rsidRPr="005E002A">
        <w:t xml:space="preserve"> </w:t>
      </w:r>
      <w:r w:rsidR="00792400">
        <w:t>s</w:t>
      </w:r>
      <w:r w:rsidRPr="005E002A">
        <w:t>tranica</w:t>
      </w:r>
    </w:p>
    <w:p w14:paraId="04D5809E" w14:textId="79BC3DFC" w:rsidR="005E002A" w:rsidRDefault="005E002A" w:rsidP="005E002A">
      <w:r w:rsidRPr="005E002A">
        <w:rPr>
          <w:b/>
          <w:bCs/>
        </w:rPr>
        <w:t>Funkcionalnost</w:t>
      </w:r>
      <w:r>
        <w:t>: Korisnika dočekuje početna stranica sa jasno definisanim opcijama za kreiranje zahtjeva, slanje urgencije ili žalbe. Ovdje se korisniku objašnjava svrha alata i pruža mogućnost da započne proces.</w:t>
      </w:r>
    </w:p>
    <w:p w14:paraId="0DB3EC91" w14:textId="77777777" w:rsidR="005E002A" w:rsidRDefault="005E002A" w:rsidP="005E002A">
      <w:r w:rsidRPr="005E002A">
        <w:rPr>
          <w:b/>
          <w:bCs/>
        </w:rPr>
        <w:t>Opcije</w:t>
      </w:r>
      <w:r>
        <w:t>:</w:t>
      </w:r>
    </w:p>
    <w:p w14:paraId="4A872EDF" w14:textId="77777777" w:rsidR="005E002A" w:rsidRDefault="005E002A" w:rsidP="003D313A">
      <w:pPr>
        <w:pStyle w:val="ListParagraph"/>
        <w:numPr>
          <w:ilvl w:val="0"/>
          <w:numId w:val="27"/>
        </w:numPr>
        <w:spacing w:line="240" w:lineRule="auto"/>
      </w:pPr>
      <w:r>
        <w:t>"ZAHTIJEVAM INFORMACIJE"</w:t>
      </w:r>
    </w:p>
    <w:p w14:paraId="3F1E03B1" w14:textId="77777777" w:rsidR="005E002A" w:rsidRDefault="005E002A" w:rsidP="003D313A">
      <w:pPr>
        <w:pStyle w:val="ListParagraph"/>
        <w:numPr>
          <w:ilvl w:val="0"/>
          <w:numId w:val="27"/>
        </w:numPr>
        <w:spacing w:line="240" w:lineRule="auto"/>
      </w:pPr>
      <w:r>
        <w:t>"POŠALJEM UREGENCIJU"</w:t>
      </w:r>
    </w:p>
    <w:p w14:paraId="7D807F9A" w14:textId="77777777" w:rsidR="005E002A" w:rsidRDefault="005E002A" w:rsidP="003D313A">
      <w:pPr>
        <w:pStyle w:val="ListParagraph"/>
        <w:numPr>
          <w:ilvl w:val="0"/>
          <w:numId w:val="27"/>
        </w:numPr>
        <w:spacing w:line="240" w:lineRule="auto"/>
      </w:pPr>
      <w:r>
        <w:t>"PODNESEM ŽALBU"</w:t>
      </w:r>
    </w:p>
    <w:p w14:paraId="45AC4323" w14:textId="77777777" w:rsidR="005E002A" w:rsidRDefault="005E002A" w:rsidP="003D313A">
      <w:pPr>
        <w:pStyle w:val="ListParagraph"/>
        <w:numPr>
          <w:ilvl w:val="0"/>
          <w:numId w:val="27"/>
        </w:numPr>
        <w:spacing w:line="240" w:lineRule="auto"/>
      </w:pPr>
      <w:r>
        <w:t>"NISAM SIGURAN/NA"</w:t>
      </w:r>
    </w:p>
    <w:p w14:paraId="7C9869DB" w14:textId="77777777" w:rsidR="005E002A" w:rsidRDefault="005E002A" w:rsidP="005E002A">
      <w:r w:rsidRPr="005E002A">
        <w:rPr>
          <w:b/>
          <w:bCs/>
        </w:rPr>
        <w:t>Informacije</w:t>
      </w:r>
      <w:r>
        <w:t>: Kratak opis svake opcije i linkovi do dodatnih informacija o projektu, uslovima korišćenja i kako do informacija.</w:t>
      </w:r>
    </w:p>
    <w:p w14:paraId="7E21F615" w14:textId="7A69BF9F" w:rsidR="005E002A" w:rsidRDefault="005E002A" w:rsidP="003D313A">
      <w:pPr>
        <w:pStyle w:val="Heading3"/>
      </w:pPr>
      <w:r>
        <w:t xml:space="preserve">Stranica 2: Kontaktiranje </w:t>
      </w:r>
      <w:r w:rsidR="00792400">
        <w:t>p</w:t>
      </w:r>
      <w:r>
        <w:t xml:space="preserve">ravne </w:t>
      </w:r>
      <w:r w:rsidR="00792400">
        <w:t>p</w:t>
      </w:r>
      <w:r>
        <w:t>omo</w:t>
      </w:r>
      <w:r>
        <w:rPr>
          <w:rFonts w:ascii="Calibri" w:hAnsi="Calibri" w:cs="Calibri"/>
        </w:rPr>
        <w:t>ć</w:t>
      </w:r>
      <w:r>
        <w:t>i</w:t>
      </w:r>
    </w:p>
    <w:p w14:paraId="77EA89D3" w14:textId="77777777" w:rsidR="005E002A" w:rsidRDefault="005E002A" w:rsidP="005E002A">
      <w:r w:rsidRPr="005E002A">
        <w:rPr>
          <w:b/>
          <w:bCs/>
        </w:rPr>
        <w:t>Funkcionalnost</w:t>
      </w:r>
      <w:r>
        <w:t>: Korisnicima je omogućeno da unesu svoj problem u polje za unos teksta i dobiju pravnu pomoć od stručnjaka.</w:t>
      </w:r>
    </w:p>
    <w:p w14:paraId="1B394750" w14:textId="77777777" w:rsidR="005E002A" w:rsidRDefault="005E002A" w:rsidP="005E002A">
      <w:r w:rsidRPr="00792400">
        <w:rPr>
          <w:b/>
          <w:bCs/>
        </w:rPr>
        <w:t>Opcija</w:t>
      </w:r>
      <w:r>
        <w:t>: Izbor organizacije kojoj se želi obratiti za pomoć.</w:t>
      </w:r>
    </w:p>
    <w:p w14:paraId="7F7190D0" w14:textId="4B42BA60" w:rsidR="005E002A" w:rsidRDefault="005E002A" w:rsidP="003D313A">
      <w:pPr>
        <w:pStyle w:val="Heading3"/>
      </w:pPr>
      <w:r>
        <w:t xml:space="preserve">Stranica 3: Privatnost i </w:t>
      </w:r>
      <w:r w:rsidR="00792400">
        <w:t>p</w:t>
      </w:r>
      <w:r>
        <w:t>odsjetnici</w:t>
      </w:r>
    </w:p>
    <w:p w14:paraId="42CD8A14" w14:textId="77777777" w:rsidR="005E002A" w:rsidRDefault="005E002A" w:rsidP="005E002A">
      <w:r w:rsidRPr="00792400">
        <w:rPr>
          <w:b/>
          <w:bCs/>
        </w:rPr>
        <w:t>Funkcionalnost</w:t>
      </w:r>
      <w:r>
        <w:t>: Korisnici mogu birati između anonimnog podnošenja zahtjeva ili ostavljanja svojih kontakt podataka za primanje obavještenja i podsjetnika.</w:t>
      </w:r>
    </w:p>
    <w:p w14:paraId="6236E752" w14:textId="77777777" w:rsidR="005E002A" w:rsidRPr="00DD2838" w:rsidRDefault="005E002A" w:rsidP="005E002A">
      <w:pPr>
        <w:rPr>
          <w:b/>
          <w:bCs/>
        </w:rPr>
      </w:pPr>
      <w:r w:rsidRPr="00DD2838">
        <w:rPr>
          <w:b/>
          <w:bCs/>
        </w:rPr>
        <w:t>Opcije:</w:t>
      </w:r>
    </w:p>
    <w:p w14:paraId="6F552E9F" w14:textId="77777777" w:rsidR="005E002A" w:rsidRDefault="005E002A" w:rsidP="003D313A">
      <w:pPr>
        <w:pStyle w:val="ListParagraph"/>
        <w:numPr>
          <w:ilvl w:val="0"/>
          <w:numId w:val="28"/>
        </w:numPr>
        <w:spacing w:line="240" w:lineRule="auto"/>
      </w:pPr>
      <w:r>
        <w:lastRenderedPageBreak/>
        <w:t>"POŠALJI MI PODSJETNIKE ZA POSTUPANJE"</w:t>
      </w:r>
    </w:p>
    <w:p w14:paraId="31EA70F0" w14:textId="77777777" w:rsidR="005E002A" w:rsidRDefault="005E002A" w:rsidP="003D313A">
      <w:pPr>
        <w:pStyle w:val="ListParagraph"/>
        <w:numPr>
          <w:ilvl w:val="0"/>
          <w:numId w:val="28"/>
        </w:numPr>
        <w:spacing w:line="240" w:lineRule="auto"/>
      </w:pPr>
      <w:r>
        <w:t>"KREIRAJTE ZAHTJEV ANONIMNO"</w:t>
      </w:r>
    </w:p>
    <w:p w14:paraId="1143F333" w14:textId="7C21FCC1" w:rsidR="005E002A" w:rsidRDefault="005E002A" w:rsidP="005E002A">
      <w:r w:rsidRPr="00792400">
        <w:rPr>
          <w:b/>
          <w:bCs/>
        </w:rPr>
        <w:t>Informacije</w:t>
      </w:r>
      <w:r>
        <w:t xml:space="preserve">: </w:t>
      </w:r>
      <w:r w:rsidR="00792400">
        <w:t>Linkovi na d</w:t>
      </w:r>
      <w:r>
        <w:t>etaljno objašnjenje kako će se rukovati njihovim podacima u skladu sa GDPR regulativama.</w:t>
      </w:r>
    </w:p>
    <w:p w14:paraId="76D5AB97" w14:textId="77777777" w:rsidR="005E002A" w:rsidRDefault="005E002A" w:rsidP="003D313A">
      <w:pPr>
        <w:pStyle w:val="Heading3"/>
      </w:pPr>
      <w:r>
        <w:t>Stranica 4: Izbor Institucije</w:t>
      </w:r>
    </w:p>
    <w:p w14:paraId="7E24A54E" w14:textId="77777777" w:rsidR="005E002A" w:rsidRDefault="005E002A" w:rsidP="005E002A">
      <w:r w:rsidRPr="00792400">
        <w:rPr>
          <w:b/>
          <w:bCs/>
        </w:rPr>
        <w:t>Funkcionalnost</w:t>
      </w:r>
      <w:r>
        <w:t>: Korisnici biraju instituciju kojoj žele poslati zahtjev iz unaprijed definisanog registra institucija ili koriste polje za pretraživanje.</w:t>
      </w:r>
    </w:p>
    <w:p w14:paraId="507F8080" w14:textId="320C196F" w:rsidR="005E002A" w:rsidRDefault="005E002A" w:rsidP="005E002A">
      <w:r w:rsidRPr="00792400">
        <w:rPr>
          <w:b/>
          <w:bCs/>
        </w:rPr>
        <w:t>Opcije</w:t>
      </w:r>
      <w:r>
        <w:t>: Lista institucija sa primjerima i polje za pretraživanje.</w:t>
      </w:r>
      <w:r w:rsidR="00792400">
        <w:t xml:space="preserve"> </w:t>
      </w:r>
      <w:r>
        <w:t>Alat automatski uključuje adresu institucije i relevantne zakonske odredbe u generisani dokument.</w:t>
      </w:r>
    </w:p>
    <w:p w14:paraId="46718F28" w14:textId="6391E712" w:rsidR="005E002A" w:rsidRDefault="005E002A" w:rsidP="003D313A">
      <w:pPr>
        <w:pStyle w:val="Heading3"/>
      </w:pPr>
      <w:r>
        <w:t xml:space="preserve">Stranica 5: Opis </w:t>
      </w:r>
      <w:r w:rsidR="00792400">
        <w:t>z</w:t>
      </w:r>
      <w:r>
        <w:t>ahtjeva</w:t>
      </w:r>
    </w:p>
    <w:p w14:paraId="0D8DD783" w14:textId="77777777" w:rsidR="005E002A" w:rsidRDefault="005E002A" w:rsidP="005E002A">
      <w:r w:rsidRPr="00792400">
        <w:rPr>
          <w:b/>
          <w:bCs/>
        </w:rPr>
        <w:t>Funkcionalnost</w:t>
      </w:r>
      <w:r>
        <w:t>: Korisnici unose detaljne informacije koje traže od javnog organa, uz savjete za precizno navođenje traženih informacija.</w:t>
      </w:r>
    </w:p>
    <w:p w14:paraId="1591783C" w14:textId="32CAAB10" w:rsidR="005E002A" w:rsidRDefault="005E002A" w:rsidP="005E002A">
      <w:r w:rsidRPr="00792400">
        <w:rPr>
          <w:b/>
          <w:bCs/>
        </w:rPr>
        <w:t>Polje za unos</w:t>
      </w:r>
      <w:r>
        <w:t xml:space="preserve">: </w:t>
      </w:r>
      <w:r w:rsidR="00792400">
        <w:t>Polje koje omogućava korisnicima unos teksta zahtjeva.</w:t>
      </w:r>
    </w:p>
    <w:p w14:paraId="08BE5FC1" w14:textId="7B9EFF12" w:rsidR="005E002A" w:rsidRDefault="005E002A" w:rsidP="005E002A">
      <w:r w:rsidRPr="00792400">
        <w:rPr>
          <w:b/>
          <w:bCs/>
        </w:rPr>
        <w:t>Primjeri</w:t>
      </w:r>
      <w:r>
        <w:t xml:space="preserve">: </w:t>
      </w:r>
      <w:r w:rsidR="00792400">
        <w:t xml:space="preserve">Korisnicima su pruženi linkovi na dokumenta koji služe kao </w:t>
      </w:r>
      <w:r>
        <w:t>primjeri za pisanje zahtjeva koji pomažu korisnicima da sastave svoj zahtjev.</w:t>
      </w:r>
    </w:p>
    <w:p w14:paraId="0A6C2D4F" w14:textId="5A5535D0" w:rsidR="005E002A" w:rsidRDefault="005E002A" w:rsidP="003D313A">
      <w:pPr>
        <w:pStyle w:val="Heading3"/>
      </w:pPr>
      <w:r>
        <w:t xml:space="preserve">Stranica 6: Unos </w:t>
      </w:r>
      <w:r w:rsidR="00792400">
        <w:t>l</w:t>
      </w:r>
      <w:r>
        <w:t>i</w:t>
      </w:r>
      <w:r>
        <w:rPr>
          <w:rFonts w:ascii="Calibri" w:hAnsi="Calibri" w:cs="Calibri"/>
        </w:rPr>
        <w:t>č</w:t>
      </w:r>
      <w:r>
        <w:t xml:space="preserve">nih </w:t>
      </w:r>
      <w:r w:rsidR="00792400">
        <w:t>p</w:t>
      </w:r>
      <w:r>
        <w:t>odataka</w:t>
      </w:r>
    </w:p>
    <w:p w14:paraId="7312DA08" w14:textId="77777777" w:rsidR="005E002A" w:rsidRDefault="005E002A" w:rsidP="005E002A">
      <w:r w:rsidRPr="00792400">
        <w:rPr>
          <w:b/>
          <w:bCs/>
        </w:rPr>
        <w:t>Funkcionalnost</w:t>
      </w:r>
      <w:r>
        <w:t>: Unos podataka o podnosiocu zahtjeva i adresi na koju žele da dobiju odgovor.</w:t>
      </w:r>
    </w:p>
    <w:p w14:paraId="354356CC" w14:textId="77777777" w:rsidR="005E002A" w:rsidRPr="00792400" w:rsidRDefault="005E002A" w:rsidP="005E002A">
      <w:pPr>
        <w:rPr>
          <w:b/>
          <w:bCs/>
        </w:rPr>
      </w:pPr>
      <w:r w:rsidRPr="00792400">
        <w:rPr>
          <w:b/>
          <w:bCs/>
        </w:rPr>
        <w:t>Polja za unos:</w:t>
      </w:r>
    </w:p>
    <w:p w14:paraId="7365AD8B" w14:textId="77777777" w:rsidR="005E002A" w:rsidRDefault="005E002A" w:rsidP="00ED4DC1">
      <w:pPr>
        <w:pStyle w:val="ListParagraph"/>
        <w:numPr>
          <w:ilvl w:val="0"/>
          <w:numId w:val="29"/>
        </w:numPr>
        <w:spacing w:line="240" w:lineRule="auto"/>
      </w:pPr>
      <w:r>
        <w:t>"IME I PREZIME"</w:t>
      </w:r>
    </w:p>
    <w:p w14:paraId="1EBF9ABE" w14:textId="77777777" w:rsidR="005E002A" w:rsidRDefault="005E002A" w:rsidP="00ED4DC1">
      <w:pPr>
        <w:pStyle w:val="ListParagraph"/>
        <w:numPr>
          <w:ilvl w:val="0"/>
          <w:numId w:val="29"/>
        </w:numPr>
        <w:spacing w:line="240" w:lineRule="auto"/>
      </w:pPr>
      <w:r>
        <w:t>"ADRESA, MJESTO, POŠTANSKI BROJ"</w:t>
      </w:r>
    </w:p>
    <w:p w14:paraId="37A03E92" w14:textId="77777777" w:rsidR="005E002A" w:rsidRDefault="005E002A" w:rsidP="00ED4DC1">
      <w:pPr>
        <w:pStyle w:val="ListParagraph"/>
        <w:numPr>
          <w:ilvl w:val="0"/>
          <w:numId w:val="29"/>
        </w:numPr>
        <w:spacing w:line="240" w:lineRule="auto"/>
      </w:pPr>
      <w:r>
        <w:t>"E-MAIL"</w:t>
      </w:r>
    </w:p>
    <w:p w14:paraId="198D2ED3" w14:textId="77777777" w:rsidR="005E002A" w:rsidRDefault="005E002A" w:rsidP="00ED4DC1">
      <w:pPr>
        <w:pStyle w:val="ListParagraph"/>
        <w:numPr>
          <w:ilvl w:val="0"/>
          <w:numId w:val="29"/>
        </w:numPr>
        <w:spacing w:line="240" w:lineRule="auto"/>
      </w:pPr>
      <w:r>
        <w:t>"BROJ TELEFONA"</w:t>
      </w:r>
    </w:p>
    <w:p w14:paraId="584A0894" w14:textId="77777777" w:rsidR="005E002A" w:rsidRDefault="005E002A" w:rsidP="005E002A">
      <w:r w:rsidRPr="00792400">
        <w:rPr>
          <w:b/>
          <w:bCs/>
        </w:rPr>
        <w:t>Privatnost</w:t>
      </w:r>
      <w:r>
        <w:t>: Informacije o tome kako će se podaci koristiti u skladu sa Zakonom o zaštiti privatnosti.</w:t>
      </w:r>
    </w:p>
    <w:p w14:paraId="2B37EAE3" w14:textId="5C4B9335" w:rsidR="005E002A" w:rsidRDefault="005E002A" w:rsidP="003D313A">
      <w:pPr>
        <w:pStyle w:val="Heading3"/>
      </w:pPr>
      <w:r>
        <w:t xml:space="preserve">Stranica 7: Pregled i </w:t>
      </w:r>
      <w:r w:rsidR="00792400">
        <w:t>p</w:t>
      </w:r>
      <w:r>
        <w:t xml:space="preserve">reuzimanje </w:t>
      </w:r>
      <w:r w:rsidR="00DD2838">
        <w:t>d</w:t>
      </w:r>
      <w:r>
        <w:t>okumenta</w:t>
      </w:r>
    </w:p>
    <w:p w14:paraId="1B3AC721" w14:textId="08CC243F" w:rsidR="005E002A" w:rsidRDefault="005E002A" w:rsidP="005E002A">
      <w:r w:rsidRPr="00792400">
        <w:rPr>
          <w:b/>
          <w:bCs/>
        </w:rPr>
        <w:t>Funkcionalnost</w:t>
      </w:r>
      <w:r>
        <w:t xml:space="preserve">: </w:t>
      </w:r>
      <w:r w:rsidR="00792400">
        <w:t>Izbor opcija za p</w:t>
      </w:r>
      <w:r>
        <w:t>regled, preuzimanje, štampanje i slanje generisanog zahtjeva.</w:t>
      </w:r>
    </w:p>
    <w:p w14:paraId="38F60D76" w14:textId="77777777" w:rsidR="005E002A" w:rsidRDefault="005E002A" w:rsidP="005E002A">
      <w:r w:rsidRPr="00792400">
        <w:rPr>
          <w:b/>
          <w:bCs/>
        </w:rPr>
        <w:t>Opcije</w:t>
      </w:r>
      <w:r>
        <w:t>:</w:t>
      </w:r>
    </w:p>
    <w:p w14:paraId="526F44DA" w14:textId="77777777" w:rsidR="005E002A" w:rsidRDefault="005E002A" w:rsidP="00ED4DC1">
      <w:pPr>
        <w:pStyle w:val="ListParagraph"/>
        <w:numPr>
          <w:ilvl w:val="0"/>
          <w:numId w:val="30"/>
        </w:numPr>
        <w:spacing w:line="240" w:lineRule="auto"/>
      </w:pPr>
      <w:r>
        <w:t>"PROVJERI PODATKE"</w:t>
      </w:r>
    </w:p>
    <w:p w14:paraId="11B148FF" w14:textId="77777777" w:rsidR="005E002A" w:rsidRDefault="005E002A" w:rsidP="00ED4DC1">
      <w:pPr>
        <w:pStyle w:val="ListParagraph"/>
        <w:numPr>
          <w:ilvl w:val="0"/>
          <w:numId w:val="30"/>
        </w:numPr>
        <w:spacing w:line="240" w:lineRule="auto"/>
      </w:pPr>
      <w:r>
        <w:t>"OSTAVI KOMENTAR"</w:t>
      </w:r>
    </w:p>
    <w:p w14:paraId="594A2465" w14:textId="77777777" w:rsidR="005E002A" w:rsidRDefault="005E002A" w:rsidP="00ED4DC1">
      <w:pPr>
        <w:pStyle w:val="ListParagraph"/>
        <w:numPr>
          <w:ilvl w:val="0"/>
          <w:numId w:val="30"/>
        </w:numPr>
        <w:spacing w:line="240" w:lineRule="auto"/>
      </w:pPr>
      <w:r>
        <w:t>"PREUZMI DOKUMENT"</w:t>
      </w:r>
    </w:p>
    <w:p w14:paraId="501C1BF7" w14:textId="7B6EE86B" w:rsidR="005E002A" w:rsidRDefault="005E002A" w:rsidP="003D313A">
      <w:pPr>
        <w:pStyle w:val="Heading3"/>
      </w:pPr>
      <w:r>
        <w:lastRenderedPageBreak/>
        <w:t xml:space="preserve">Stranica 8: Format </w:t>
      </w:r>
      <w:r w:rsidR="00DD2838">
        <w:t>z</w:t>
      </w:r>
      <w:r>
        <w:t>ahtjeva</w:t>
      </w:r>
    </w:p>
    <w:p w14:paraId="6169AFA4" w14:textId="1367D30A" w:rsidR="005E002A" w:rsidRDefault="005E002A" w:rsidP="005E002A">
      <w:r w:rsidRPr="00792400">
        <w:rPr>
          <w:b/>
          <w:bCs/>
        </w:rPr>
        <w:t>Funkcionalnost</w:t>
      </w:r>
      <w:r>
        <w:t>: Prikaz primjera generisanog zahtjeva sa automatski uključenim podacima kao što su adresa institucije, datum i zakonski osnov.</w:t>
      </w:r>
      <w:r w:rsidR="00792400">
        <w:t xml:space="preserve"> Na primjeru su vizuelno naznačena polja i sadržaj koji je korisnik unio u prethodnim koracima. Vizuelno naznačena polja se mogu mijenjati i dorađivati po željama korisnika.</w:t>
      </w:r>
    </w:p>
    <w:p w14:paraId="679E82C3" w14:textId="77777777" w:rsidR="005E002A" w:rsidRDefault="005E002A" w:rsidP="005E002A">
      <w:r w:rsidRPr="00792400">
        <w:rPr>
          <w:b/>
          <w:bCs/>
        </w:rPr>
        <w:t>Opcije</w:t>
      </w:r>
      <w:r>
        <w:t>: "PREUZMI" i "NAZAD"</w:t>
      </w:r>
    </w:p>
    <w:p w14:paraId="470B6E06" w14:textId="2EEBA5C4" w:rsidR="005E002A" w:rsidRDefault="005E002A" w:rsidP="003D313A">
      <w:pPr>
        <w:pStyle w:val="Heading3"/>
      </w:pPr>
      <w:r>
        <w:t xml:space="preserve">Stranica 9: Informacije o </w:t>
      </w:r>
      <w:r w:rsidR="00792400">
        <w:t>a</w:t>
      </w:r>
      <w:r>
        <w:t>latu</w:t>
      </w:r>
      <w:r w:rsidR="003D313A">
        <w:t>, uslovi koriš</w:t>
      </w:r>
      <w:r w:rsidR="003D313A">
        <w:rPr>
          <w:rFonts w:ascii="Calibri" w:hAnsi="Calibri" w:cs="Calibri"/>
        </w:rPr>
        <w:t>ć</w:t>
      </w:r>
      <w:r w:rsidR="003D313A">
        <w:t>enja i opis projekta</w:t>
      </w:r>
    </w:p>
    <w:p w14:paraId="1C88A756" w14:textId="77777777" w:rsidR="005E002A" w:rsidRDefault="005E002A" w:rsidP="005E002A">
      <w:r w:rsidRPr="00792400">
        <w:rPr>
          <w:b/>
          <w:bCs/>
        </w:rPr>
        <w:t>Funkcionalnost</w:t>
      </w:r>
      <w:r>
        <w:t>: Opis FOI Generator alata, njegovih tvoraca i svrhe.</w:t>
      </w:r>
    </w:p>
    <w:p w14:paraId="245F153B" w14:textId="243A7B16" w:rsidR="005E002A" w:rsidRDefault="005E002A" w:rsidP="003D313A">
      <w:pPr>
        <w:pStyle w:val="Heading3"/>
      </w:pPr>
      <w:r>
        <w:t xml:space="preserve">Stranica 10: Koraci za </w:t>
      </w:r>
      <w:r w:rsidR="00792400">
        <w:t>d</w:t>
      </w:r>
      <w:r>
        <w:t xml:space="preserve">obijanje </w:t>
      </w:r>
      <w:r w:rsidR="00DD2838">
        <w:t>i</w:t>
      </w:r>
      <w:r>
        <w:t>nformacija</w:t>
      </w:r>
    </w:p>
    <w:p w14:paraId="6EBE49F4" w14:textId="656B5646" w:rsidR="005E002A" w:rsidRDefault="005E002A" w:rsidP="005E002A">
      <w:r>
        <w:t>Funkcionalnost: Detaljan opis koraka</w:t>
      </w:r>
      <w:r w:rsidR="003D313A">
        <w:t xml:space="preserve"> i procedura</w:t>
      </w:r>
      <w:r>
        <w:t xml:space="preserve"> za dobijanje informacija sa pratećim materijalima</w:t>
      </w:r>
      <w:r w:rsidR="003D313A">
        <w:t xml:space="preserve"> (video, foto, infografika)</w:t>
      </w:r>
    </w:p>
    <w:p w14:paraId="59C9A054" w14:textId="36FA3B4E" w:rsidR="005E002A" w:rsidRDefault="005E002A" w:rsidP="003D313A">
      <w:pPr>
        <w:pStyle w:val="Heading3"/>
      </w:pPr>
      <w:r>
        <w:t xml:space="preserve">Stranica 11: FAQ i </w:t>
      </w:r>
      <w:r w:rsidR="00DD2838">
        <w:t>d</w:t>
      </w:r>
      <w:r>
        <w:t>etalji</w:t>
      </w:r>
    </w:p>
    <w:p w14:paraId="2718ABC8" w14:textId="3B46D80D" w:rsidR="005E002A" w:rsidRDefault="005E002A" w:rsidP="005E002A">
      <w:r w:rsidRPr="00DD2838">
        <w:rPr>
          <w:b/>
          <w:bCs/>
        </w:rPr>
        <w:t>Funkcionalnost</w:t>
      </w:r>
      <w:r>
        <w:t>: Odgovori na najčešća pitanja korisnika.</w:t>
      </w:r>
      <w:r w:rsidR="003D313A">
        <w:t xml:space="preserve"> Ponuđen je set predefinisanih pitanja koja opisuju scenarija sa kojima bi se mogli korisnici susresti prilikom traženja informacija od javnog značaja</w:t>
      </w:r>
    </w:p>
    <w:p w14:paraId="27DB35F4" w14:textId="56243A7A" w:rsidR="008A5A25" w:rsidRDefault="008A5A25" w:rsidP="008A5A25">
      <w:pPr>
        <w:pStyle w:val="Heading3"/>
      </w:pPr>
      <w:r>
        <w:t>Stranica 12</w:t>
      </w:r>
    </w:p>
    <w:p w14:paraId="46E43416" w14:textId="1D47C8B5" w:rsidR="008A5A25" w:rsidRPr="008A5A25" w:rsidRDefault="008A5A25" w:rsidP="008A5A25">
      <w:pPr>
        <w:pStyle w:val="Subtitle"/>
        <w:jc w:val="both"/>
        <w:rPr>
          <w:rFonts w:asciiTheme="minorHAnsi" w:eastAsiaTheme="minorHAnsi" w:hAnsiTheme="minorHAnsi" w:cstheme="minorBidi"/>
          <w:color w:val="auto"/>
          <w:spacing w:val="0"/>
          <w:sz w:val="20"/>
          <w:szCs w:val="20"/>
        </w:rPr>
      </w:pPr>
      <w:r w:rsidRPr="008A5A25">
        <w:rPr>
          <w:rFonts w:asciiTheme="minorHAnsi" w:eastAsiaTheme="minorHAnsi" w:hAnsiTheme="minorHAnsi" w:cstheme="minorBidi"/>
          <w:b/>
          <w:color w:val="auto"/>
          <w:spacing w:val="0"/>
          <w:sz w:val="20"/>
          <w:szCs w:val="20"/>
        </w:rPr>
        <w:t>Funkcionlanost:</w:t>
      </w:r>
      <w:r w:rsidRPr="008A5A25">
        <w:rPr>
          <w:rFonts w:asciiTheme="minorHAnsi" w:eastAsiaTheme="minorHAnsi" w:hAnsiTheme="minorHAnsi" w:cstheme="minorBidi"/>
          <w:color w:val="auto"/>
          <w:spacing w:val="0"/>
          <w:sz w:val="20"/>
          <w:szCs w:val="20"/>
        </w:rPr>
        <w:t xml:space="preserve"> Dio sekcije o projektu treba da sadrži kratke informacije o projektu, donatoru i implementatorima projekta sa svim relevantnim podacima o organizacijama koje provode projekta i o doantoru, uključujući kontakt podatke</w:t>
      </w:r>
    </w:p>
    <w:p w14:paraId="03561279" w14:textId="18531C0B" w:rsidR="00DD2838" w:rsidRDefault="00DD2838" w:rsidP="00DD2838">
      <w:pPr>
        <w:pStyle w:val="Heading3"/>
      </w:pPr>
      <w:r>
        <w:t>Stranica 1</w:t>
      </w:r>
      <w:r w:rsidR="008A5A25">
        <w:t>3</w:t>
      </w:r>
      <w:r>
        <w:t xml:space="preserve"> i dalje</w:t>
      </w:r>
    </w:p>
    <w:p w14:paraId="46762D3E" w14:textId="416C5997" w:rsidR="00DD2838" w:rsidRPr="00DD2838" w:rsidRDefault="00DD2838" w:rsidP="00DD2838">
      <w:r w:rsidRPr="00E84CA7">
        <w:rPr>
          <w:b/>
          <w:bCs/>
        </w:rPr>
        <w:t>Funkcionalnost:</w:t>
      </w:r>
      <w:r>
        <w:t xml:space="preserve"> Stranice koje omogućavaju pregled promotivnog </w:t>
      </w:r>
      <w:r w:rsidR="0005660D">
        <w:t xml:space="preserve">materijala kao i edukativnog sadržaja u obliku kratkih tekstova, video snimaka/animacija, infografika i ostalog sadržaja koji </w:t>
      </w:r>
      <w:r w:rsidR="00C22D9C">
        <w:t xml:space="preserve">ima za cilj objašnjenje načina rada alata i procedura dobijanja informacija od javnog značaja, te stranice koje prikazuju </w:t>
      </w:r>
      <w:r w:rsidR="00E84CA7">
        <w:t>najnovije izvještaje, analize i publikacije vezane za oblast slobode pristupa informacijama.</w:t>
      </w:r>
    </w:p>
    <w:p w14:paraId="51B9F6CC" w14:textId="77777777" w:rsidR="00DD2838" w:rsidRDefault="00DD2838" w:rsidP="005E002A"/>
    <w:p w14:paraId="6EDCEAAA" w14:textId="38BC6A0A" w:rsidR="003D313A" w:rsidRDefault="003D313A" w:rsidP="005E002A">
      <w:r>
        <w:t>-----</w:t>
      </w:r>
    </w:p>
    <w:p w14:paraId="10B20807" w14:textId="09860704" w:rsidR="005E002A" w:rsidRDefault="005E002A" w:rsidP="005E002A"/>
    <w:sectPr w:rsidR="005E002A" w:rsidSect="005E0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Oswald SemiBo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9D4A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C81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D56F0"/>
    <w:multiLevelType w:val="hybridMultilevel"/>
    <w:tmpl w:val="12EA156A"/>
    <w:lvl w:ilvl="0" w:tplc="F7E240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695D8" w:themeColor="accent1"/>
      </w:rPr>
    </w:lvl>
    <w:lvl w:ilvl="1" w:tplc="3FE2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695D8" w:themeColor="accent1"/>
        <w:sz w:val="20"/>
      </w:rPr>
    </w:lvl>
    <w:lvl w:ilvl="2" w:tplc="824AC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695D8" w:themeColor="accent1"/>
        <w:sz w:val="20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4F3"/>
    <w:multiLevelType w:val="hybridMultilevel"/>
    <w:tmpl w:val="BDE0CACC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56A"/>
    <w:multiLevelType w:val="hybridMultilevel"/>
    <w:tmpl w:val="E2B2812A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C4C"/>
    <w:multiLevelType w:val="hybridMultilevel"/>
    <w:tmpl w:val="00E258BC"/>
    <w:lvl w:ilvl="0" w:tplc="30CC5BBE">
      <w:start w:val="1"/>
      <w:numFmt w:val="decimal"/>
      <w:pStyle w:val="Numberedparagraph"/>
      <w:lvlText w:val="%1."/>
      <w:lvlJc w:val="left"/>
      <w:pPr>
        <w:ind w:left="1080" w:hanging="360"/>
      </w:pPr>
      <w:rPr>
        <w:rFonts w:ascii="Open Sans" w:hAnsi="Open Sans" w:hint="default"/>
        <w:b w:val="0"/>
        <w:i w:val="0"/>
        <w:color w:val="3695D8" w:themeColor="accen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162E6"/>
    <w:multiLevelType w:val="hybridMultilevel"/>
    <w:tmpl w:val="D1288694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40C80"/>
    <w:multiLevelType w:val="hybridMultilevel"/>
    <w:tmpl w:val="5A2A97B8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3202"/>
    <w:multiLevelType w:val="hybridMultilevel"/>
    <w:tmpl w:val="4B94D74C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742E"/>
    <w:multiLevelType w:val="hybridMultilevel"/>
    <w:tmpl w:val="CE1A3CCC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13CE"/>
    <w:multiLevelType w:val="hybridMultilevel"/>
    <w:tmpl w:val="7D72007A"/>
    <w:lvl w:ilvl="0" w:tplc="BB564C1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/>
        <w:b/>
        <w:color w:val="3695D8" w:themeColor="accent1"/>
        <w:sz w:val="20"/>
      </w:rPr>
    </w:lvl>
    <w:lvl w:ilvl="1" w:tplc="3098969E">
      <w:start w:val="1"/>
      <w:numFmt w:val="lowerLetter"/>
      <w:lvlText w:val="%2."/>
      <w:lvlJc w:val="left"/>
      <w:pPr>
        <w:ind w:left="1440" w:hanging="360"/>
      </w:pPr>
      <w:rPr>
        <w:color w:val="3695D8" w:themeColor="accent1"/>
      </w:rPr>
    </w:lvl>
    <w:lvl w:ilvl="2" w:tplc="22D25F66">
      <w:start w:val="1"/>
      <w:numFmt w:val="lowerRoman"/>
      <w:lvlText w:val="%3."/>
      <w:lvlJc w:val="right"/>
      <w:pPr>
        <w:ind w:left="2160" w:hanging="180"/>
      </w:pPr>
      <w:rPr>
        <w:color w:val="3695D8" w:themeColor="accent1"/>
        <w:sz w:val="20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D85"/>
    <w:multiLevelType w:val="hybridMultilevel"/>
    <w:tmpl w:val="8D685E7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E69F1"/>
    <w:multiLevelType w:val="hybridMultilevel"/>
    <w:tmpl w:val="3AF2C8BA"/>
    <w:lvl w:ilvl="0" w:tplc="FF425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3695D8" w:themeColor="accent1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63FD5"/>
    <w:multiLevelType w:val="hybridMultilevel"/>
    <w:tmpl w:val="65F2604E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35B6"/>
    <w:multiLevelType w:val="hybridMultilevel"/>
    <w:tmpl w:val="3A760EB6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6150"/>
    <w:multiLevelType w:val="multilevel"/>
    <w:tmpl w:val="DB06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95D8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3695D8" w:themeColor="accent1"/>
      </w:rPr>
    </w:lvl>
    <w:lvl w:ilvl="2">
      <w:start w:val="1"/>
      <w:numFmt w:val="bullet"/>
      <w:pStyle w:val="ListNumber"/>
      <w:lvlText w:val=""/>
      <w:lvlJc w:val="left"/>
      <w:pPr>
        <w:ind w:left="1224" w:hanging="504"/>
      </w:pPr>
      <w:rPr>
        <w:rFonts w:ascii="Symbol" w:hAnsi="Symbol" w:hint="default"/>
        <w:color w:val="3695D8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3695D8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3695D8" w:themeColor="accen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3695D8" w:themeColor="accen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3695D8" w:themeColor="accen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3695D8" w:themeColor="accen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3695D8" w:themeColor="accent1"/>
      </w:rPr>
    </w:lvl>
  </w:abstractNum>
  <w:abstractNum w:abstractNumId="16" w15:restartNumberingAfterBreak="0">
    <w:nsid w:val="730F5362"/>
    <w:multiLevelType w:val="hybridMultilevel"/>
    <w:tmpl w:val="527CF71E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A1B49"/>
    <w:multiLevelType w:val="hybridMultilevel"/>
    <w:tmpl w:val="D4AEAE62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4598D"/>
    <w:multiLevelType w:val="hybridMultilevel"/>
    <w:tmpl w:val="DEEEEB62"/>
    <w:lvl w:ilvl="0" w:tplc="6734B8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B0F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2"/>
  </w:num>
  <w:num w:numId="6">
    <w:abstractNumId w:val="2"/>
  </w:num>
  <w:num w:numId="7">
    <w:abstractNumId w:val="15"/>
  </w:num>
  <w:num w:numId="8">
    <w:abstractNumId w:val="2"/>
  </w:num>
  <w:num w:numId="9">
    <w:abstractNumId w:val="2"/>
  </w:num>
  <w:num w:numId="10">
    <w:abstractNumId w:val="15"/>
  </w:num>
  <w:num w:numId="11">
    <w:abstractNumId w:val="2"/>
  </w:num>
  <w:num w:numId="12">
    <w:abstractNumId w:val="12"/>
  </w:num>
  <w:num w:numId="13">
    <w:abstractNumId w:val="12"/>
  </w:num>
  <w:num w:numId="14">
    <w:abstractNumId w:val="5"/>
  </w:num>
  <w:num w:numId="15">
    <w:abstractNumId w:val="2"/>
  </w:num>
  <w:num w:numId="16">
    <w:abstractNumId w:val="5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  <w:num w:numId="21">
    <w:abstractNumId w:val="3"/>
  </w:num>
  <w:num w:numId="22">
    <w:abstractNumId w:val="18"/>
  </w:num>
  <w:num w:numId="23">
    <w:abstractNumId w:val="16"/>
  </w:num>
  <w:num w:numId="24">
    <w:abstractNumId w:val="13"/>
  </w:num>
  <w:num w:numId="25">
    <w:abstractNumId w:val="17"/>
  </w:num>
  <w:num w:numId="26">
    <w:abstractNumId w:val="8"/>
  </w:num>
  <w:num w:numId="27">
    <w:abstractNumId w:val="7"/>
  </w:num>
  <w:num w:numId="28">
    <w:abstractNumId w:val="4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96"/>
    <w:rsid w:val="00001D5B"/>
    <w:rsid w:val="0001434C"/>
    <w:rsid w:val="000239AD"/>
    <w:rsid w:val="0005660D"/>
    <w:rsid w:val="00125691"/>
    <w:rsid w:val="00143417"/>
    <w:rsid w:val="00196691"/>
    <w:rsid w:val="001F6154"/>
    <w:rsid w:val="00292B56"/>
    <w:rsid w:val="00311615"/>
    <w:rsid w:val="003D12CB"/>
    <w:rsid w:val="003D313A"/>
    <w:rsid w:val="003D62B6"/>
    <w:rsid w:val="0049484B"/>
    <w:rsid w:val="005D4290"/>
    <w:rsid w:val="005E002A"/>
    <w:rsid w:val="00605C0F"/>
    <w:rsid w:val="006E3FC5"/>
    <w:rsid w:val="00702F97"/>
    <w:rsid w:val="0077188D"/>
    <w:rsid w:val="00792400"/>
    <w:rsid w:val="00863A13"/>
    <w:rsid w:val="008642DD"/>
    <w:rsid w:val="008959CB"/>
    <w:rsid w:val="008A5A25"/>
    <w:rsid w:val="008D34DC"/>
    <w:rsid w:val="009246EF"/>
    <w:rsid w:val="00925ED8"/>
    <w:rsid w:val="00940709"/>
    <w:rsid w:val="00972A9E"/>
    <w:rsid w:val="009D5EB8"/>
    <w:rsid w:val="00A45BA8"/>
    <w:rsid w:val="00A55670"/>
    <w:rsid w:val="00A712CC"/>
    <w:rsid w:val="00AF3C4B"/>
    <w:rsid w:val="00B23D07"/>
    <w:rsid w:val="00B34A3D"/>
    <w:rsid w:val="00B7105A"/>
    <w:rsid w:val="00C22D9C"/>
    <w:rsid w:val="00C52BFB"/>
    <w:rsid w:val="00C55140"/>
    <w:rsid w:val="00C6488A"/>
    <w:rsid w:val="00CB2A7A"/>
    <w:rsid w:val="00CC3813"/>
    <w:rsid w:val="00D1418A"/>
    <w:rsid w:val="00DC0260"/>
    <w:rsid w:val="00DD2838"/>
    <w:rsid w:val="00DE1659"/>
    <w:rsid w:val="00E21292"/>
    <w:rsid w:val="00E84CA7"/>
    <w:rsid w:val="00ED4DC1"/>
    <w:rsid w:val="00F47DE6"/>
    <w:rsid w:val="00F56E13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DE73"/>
  <w15:chartTrackingRefBased/>
  <w15:docId w15:val="{9DD878AE-56A9-4D07-A510-7B48BF6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lang w:val="sr-Latn-BA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9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6691"/>
    <w:pPr>
      <w:keepNext/>
      <w:keepLines/>
      <w:outlineLvl w:val="0"/>
    </w:pPr>
    <w:rPr>
      <w:rFonts w:ascii="Oswald SemiBold" w:eastAsiaTheme="majorEastAsia" w:hAnsi="Oswald SemiBold" w:cstheme="majorBidi"/>
      <w:bCs/>
      <w:caps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96691"/>
    <w:pPr>
      <w:outlineLvl w:val="1"/>
    </w:pPr>
    <w:rPr>
      <w:rFonts w:ascii="Open Sans" w:hAnsi="Open Sans"/>
      <w:b/>
      <w:caps w:val="0"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691"/>
    <w:pPr>
      <w:keepNext/>
      <w:keepLines/>
      <w:outlineLvl w:val="2"/>
    </w:pPr>
    <w:rPr>
      <w:rFonts w:ascii="Open Sans SemiBold" w:eastAsiaTheme="majorEastAsia" w:hAnsi="Open Sans SemiBold" w:cstheme="majorBidi"/>
      <w:color w:val="808080" w:themeColor="background1" w:themeShade="8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96691"/>
    <w:pPr>
      <w:outlineLvl w:val="3"/>
    </w:pPr>
    <w:rPr>
      <w:rFonts w:ascii="Open Sans" w:hAnsi="Open Sans"/>
      <w:iCs/>
      <w:color w:val="3695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896"/>
    <w:pPr>
      <w:keepNext/>
      <w:keepLines/>
      <w:spacing w:before="80" w:after="40"/>
      <w:outlineLvl w:val="4"/>
    </w:pPr>
    <w:rPr>
      <w:rFonts w:eastAsiaTheme="majorEastAsia" w:cstheme="majorBidi"/>
      <w:color w:val="2170A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8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8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8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8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691"/>
    <w:rPr>
      <w:rFonts w:ascii="Oswald SemiBold" w:eastAsiaTheme="majorEastAsia" w:hAnsi="Oswald SemiBold" w:cstheme="majorBidi"/>
      <w:bCs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6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691"/>
    <w:rPr>
      <w:rFonts w:ascii="Open Sans SemiBold" w:eastAsiaTheme="majorEastAsia" w:hAnsi="Open Sans SemiBold" w:cstheme="majorBidi"/>
      <w:color w:val="808080" w:themeColor="background1" w:themeShade="80"/>
      <w:szCs w:val="24"/>
    </w:rPr>
  </w:style>
  <w:style w:type="paragraph" w:styleId="ListBullet">
    <w:name w:val="List Bullet"/>
    <w:basedOn w:val="ListParagraph"/>
    <w:uiPriority w:val="99"/>
    <w:semiHidden/>
    <w:unhideWhenUsed/>
    <w:qFormat/>
    <w:rsid w:val="00863A13"/>
  </w:style>
  <w:style w:type="paragraph" w:styleId="ListParagraph">
    <w:name w:val="List Paragraph"/>
    <w:basedOn w:val="Normal"/>
    <w:uiPriority w:val="34"/>
    <w:qFormat/>
    <w:rsid w:val="00196691"/>
    <w:pPr>
      <w:numPr>
        <w:numId w:val="17"/>
      </w:numPr>
    </w:pPr>
  </w:style>
  <w:style w:type="paragraph" w:styleId="ListNumber">
    <w:name w:val="List Number"/>
    <w:basedOn w:val="ListParagraph"/>
    <w:autoRedefine/>
    <w:uiPriority w:val="99"/>
    <w:semiHidden/>
    <w:unhideWhenUsed/>
    <w:qFormat/>
    <w:rsid w:val="00863A13"/>
    <w:pPr>
      <w:numPr>
        <w:ilvl w:val="2"/>
        <w:numId w:val="10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96691"/>
    <w:pPr>
      <w:contextualSpacing/>
    </w:pPr>
    <w:rPr>
      <w:rFonts w:ascii="Oswald" w:eastAsiaTheme="majorEastAsia" w:hAnsi="Oswald" w:cstheme="majorBidi"/>
      <w:spacing w:val="-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196691"/>
    <w:rPr>
      <w:rFonts w:ascii="Oswald" w:eastAsiaTheme="majorEastAsia" w:hAnsi="Oswald" w:cstheme="majorBidi"/>
      <w:spacing w:val="-10"/>
      <w:kern w:val="28"/>
      <w:sz w:val="64"/>
      <w:szCs w:val="64"/>
    </w:rPr>
  </w:style>
  <w:style w:type="character" w:styleId="Emphasis">
    <w:name w:val="Emphasis"/>
    <w:basedOn w:val="DefaultParagraphFont"/>
    <w:uiPriority w:val="20"/>
    <w:qFormat/>
    <w:rsid w:val="00196691"/>
    <w:rPr>
      <w:rFonts w:asciiTheme="minorHAnsi" w:hAnsiTheme="minorHAnsi"/>
      <w:i/>
      <w:iCs/>
      <w:color w:val="3695D8" w:themeColor="accent1"/>
    </w:rPr>
  </w:style>
  <w:style w:type="paragraph" w:styleId="NoSpacing">
    <w:name w:val="No Spacing"/>
    <w:uiPriority w:val="1"/>
    <w:qFormat/>
    <w:rsid w:val="00196691"/>
  </w:style>
  <w:style w:type="character" w:styleId="IntenseEmphasis">
    <w:name w:val="Intense Emphasis"/>
    <w:basedOn w:val="DefaultParagraphFont"/>
    <w:uiPriority w:val="21"/>
    <w:qFormat/>
    <w:rsid w:val="00196691"/>
    <w:rPr>
      <w:rFonts w:ascii="Open Sans SemiBold" w:hAnsi="Open Sans SemiBold"/>
      <w:i/>
      <w:iCs/>
      <w:color w:val="3695D8" w:themeColor="accent1"/>
    </w:rPr>
  </w:style>
  <w:style w:type="character" w:styleId="IntenseReference">
    <w:name w:val="Intense Reference"/>
    <w:basedOn w:val="DefaultParagraphFont"/>
    <w:uiPriority w:val="32"/>
    <w:qFormat/>
    <w:rsid w:val="00196691"/>
    <w:rPr>
      <w:b/>
      <w:bCs/>
      <w:smallCaps/>
      <w:color w:val="3695D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6691"/>
    <w:rPr>
      <w:rFonts w:asciiTheme="majorHAnsi" w:hAnsiTheme="majorHAnsi"/>
      <w:b/>
      <w:bCs/>
      <w:i w:val="0"/>
      <w:iCs/>
      <w:caps/>
      <w:smallCaps w:val="0"/>
      <w:spacing w:val="5"/>
      <w:sz w:val="72"/>
      <w:u w:val="word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691"/>
    <w:pPr>
      <w:pBdr>
        <w:top w:val="single" w:sz="4" w:space="10" w:color="3695D8" w:themeColor="accent1"/>
        <w:bottom w:val="single" w:sz="4" w:space="10" w:color="3695D8" w:themeColor="accent1"/>
      </w:pBdr>
      <w:spacing w:before="360" w:after="360"/>
      <w:ind w:left="864" w:right="864"/>
      <w:jc w:val="center"/>
    </w:pPr>
    <w:rPr>
      <w:rFonts w:ascii="Open Sans SemiBold" w:hAnsi="Open Sans SemiBold"/>
      <w:i/>
      <w:iCs/>
      <w:color w:val="3695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691"/>
    <w:rPr>
      <w:rFonts w:ascii="Open Sans SemiBold" w:hAnsi="Open Sans SemiBold"/>
      <w:i/>
      <w:iCs/>
      <w:color w:val="3695D8" w:themeColor="accent1"/>
    </w:rPr>
  </w:style>
  <w:style w:type="paragraph" w:customStyle="1" w:styleId="Numberedparagraph">
    <w:name w:val="Numbered paragraph"/>
    <w:basedOn w:val="ListParagraph"/>
    <w:qFormat/>
    <w:rsid w:val="00196691"/>
    <w:pPr>
      <w:numPr>
        <w:numId w:val="18"/>
      </w:num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96691"/>
    <w:rPr>
      <w:rFonts w:ascii="Open Sans" w:eastAsiaTheme="majorEastAsia" w:hAnsi="Open Sans" w:cstheme="majorBidi"/>
      <w:iCs/>
      <w:color w:val="3695D8" w:themeColor="accent1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96691"/>
    <w:pPr>
      <w:spacing w:after="0" w:line="240" w:lineRule="auto"/>
    </w:pPr>
    <w:rPr>
      <w:rFonts w:ascii="Open Sans Condensed Light" w:hAnsi="Open Sans Condensed Light" w:cs="Open Sans Condensed Light"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691"/>
    <w:rPr>
      <w:rFonts w:ascii="Open Sans Condensed Light" w:hAnsi="Open Sans Condensed Light" w:cs="Open Sans Condensed Light"/>
      <w:i/>
      <w:iCs/>
    </w:rPr>
  </w:style>
  <w:style w:type="character" w:styleId="FootnoteReference">
    <w:name w:val="footnote reference"/>
    <w:basedOn w:val="FootnoteTextChar"/>
    <w:uiPriority w:val="99"/>
    <w:unhideWhenUsed/>
    <w:rsid w:val="00196691"/>
    <w:rPr>
      <w:rFonts w:ascii="Open Sans SemiBold" w:hAnsi="Open Sans SemiBold" w:cs="Open Sans Condensed Light"/>
      <w:b w:val="0"/>
      <w:i w:val="0"/>
      <w:iCs/>
      <w:color w:val="3695D8" w:themeColor="accent1"/>
      <w:sz w:val="20"/>
      <w:szCs w:val="20"/>
      <w:vertAlign w:val="superscript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691"/>
    <w:pPr>
      <w:numPr>
        <w:ilvl w:val="1"/>
      </w:numPr>
      <w:spacing w:after="160"/>
    </w:pPr>
    <w:rPr>
      <w:rFonts w:ascii="Open Sans SemiBold" w:eastAsiaTheme="minorEastAsia" w:hAnsi="Open Sans SemiBold" w:cs="Open Sans SemiBold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6691"/>
    <w:rPr>
      <w:rFonts w:ascii="Open Sans SemiBold" w:eastAsiaTheme="minorEastAsia" w:hAnsi="Open Sans SemiBold" w:cs="Open Sans SemiBold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19669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6691"/>
    <w:pPr>
      <w:spacing w:before="200" w:after="160"/>
      <w:ind w:left="864" w:right="864"/>
      <w:jc w:val="center"/>
    </w:pPr>
    <w:rPr>
      <w:i/>
      <w:iCs/>
      <w:color w:val="3695D8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196691"/>
    <w:rPr>
      <w:rFonts w:asciiTheme="minorHAnsi" w:hAnsiTheme="minorHAnsi"/>
      <w:i/>
      <w:iCs/>
      <w:color w:val="3695D8" w:themeColor="accent1"/>
    </w:rPr>
  </w:style>
  <w:style w:type="character" w:styleId="SubtleEmphasis">
    <w:name w:val="Subtle Emphasis"/>
    <w:basedOn w:val="DefaultParagraphFont"/>
    <w:uiPriority w:val="19"/>
    <w:qFormat/>
    <w:rsid w:val="00196691"/>
    <w:rPr>
      <w:i w:val="0"/>
      <w:iCs/>
      <w:color w:val="3695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896"/>
    <w:rPr>
      <w:rFonts w:asciiTheme="minorHAnsi" w:eastAsiaTheme="majorEastAsia" w:hAnsiTheme="minorHAnsi" w:cstheme="majorBidi"/>
      <w:color w:val="2170A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89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89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89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896"/>
    <w:rPr>
      <w:rFonts w:asciiTheme="minorHAnsi" w:eastAsiaTheme="majorEastAsia" w:hAnsiTheme="minorHAnsi" w:cstheme="majorBidi"/>
      <w:color w:val="272727" w:themeColor="text1" w:themeTint="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I BiH Color Scheme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3695D8"/>
      </a:accent1>
      <a:accent2>
        <a:srgbClr val="E51F40"/>
      </a:accent2>
      <a:accent3>
        <a:srgbClr val="FF6600"/>
      </a:accent3>
      <a:accent4>
        <a:srgbClr val="FFD900"/>
      </a:accent4>
      <a:accent5>
        <a:srgbClr val="96C800"/>
      </a:accent5>
      <a:accent6>
        <a:srgbClr val="F87165"/>
      </a:accent6>
      <a:hlink>
        <a:srgbClr val="3695D8"/>
      </a:hlink>
      <a:folHlink>
        <a:srgbClr val="AA2037"/>
      </a:folHlink>
    </a:clrScheme>
    <a:fontScheme name="TI BiH">
      <a:majorFont>
        <a:latin typeface="Oswald"/>
        <a:ea typeface=""/>
        <a:cs typeface="Times New Roman"/>
      </a:majorFont>
      <a:minorFont>
        <a:latin typeface="Open Sans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Vučen (TI BIH)</dc:creator>
  <cp:keywords/>
  <dc:description/>
  <cp:lastModifiedBy>Emsad Dizdarević (TI BIH)</cp:lastModifiedBy>
  <cp:revision>35</cp:revision>
  <dcterms:created xsi:type="dcterms:W3CDTF">2024-07-09T12:22:00Z</dcterms:created>
  <dcterms:modified xsi:type="dcterms:W3CDTF">2024-07-16T08:06:00Z</dcterms:modified>
</cp:coreProperties>
</file>