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1B" w:rsidRPr="007E1730" w:rsidRDefault="00D04F1B" w:rsidP="00D04F1B">
      <w:pPr>
        <w:spacing w:after="0"/>
        <w:jc w:val="both"/>
        <w:rPr>
          <w:rFonts w:ascii="Arial" w:hAnsi="Arial" w:cs="Arial"/>
          <w:b/>
          <w:sz w:val="20"/>
          <w:szCs w:val="20"/>
        </w:rPr>
      </w:pPr>
    </w:p>
    <w:p w:rsidR="00D04F1B" w:rsidRPr="007E1730" w:rsidRDefault="00D04F1B" w:rsidP="00D04F1B">
      <w:pPr>
        <w:spacing w:after="0"/>
        <w:jc w:val="both"/>
        <w:rPr>
          <w:rFonts w:ascii="Arial" w:hAnsi="Arial" w:cs="Arial"/>
          <w:b/>
          <w:sz w:val="20"/>
          <w:szCs w:val="20"/>
        </w:rPr>
      </w:pPr>
      <w:r w:rsidRPr="007E1730">
        <w:rPr>
          <w:rFonts w:ascii="Arial" w:hAnsi="Arial" w:cs="Arial"/>
          <w:b/>
          <w:sz w:val="20"/>
          <w:szCs w:val="20"/>
        </w:rPr>
        <w:t>Date: 13.12.2017.</w:t>
      </w:r>
    </w:p>
    <w:p w:rsidR="00D04F1B" w:rsidRPr="007E1730" w:rsidRDefault="00D04F1B" w:rsidP="00D04F1B">
      <w:pPr>
        <w:spacing w:after="0"/>
        <w:jc w:val="both"/>
        <w:rPr>
          <w:rFonts w:ascii="Arial" w:hAnsi="Arial" w:cs="Arial"/>
          <w:b/>
          <w:i/>
          <w:sz w:val="20"/>
          <w:szCs w:val="20"/>
        </w:rPr>
      </w:pPr>
      <w:r w:rsidRPr="007E1730">
        <w:rPr>
          <w:rFonts w:ascii="Arial" w:hAnsi="Arial" w:cs="Arial"/>
          <w:b/>
          <w:sz w:val="20"/>
          <w:szCs w:val="20"/>
        </w:rPr>
        <w:t>Number: 06-01/709</w:t>
      </w:r>
      <w:r w:rsidRPr="007E1730">
        <w:rPr>
          <w:rFonts w:ascii="Arial" w:hAnsi="Arial" w:cs="Arial"/>
          <w:sz w:val="20"/>
          <w:szCs w:val="20"/>
        </w:rPr>
        <w:t xml:space="preserve">                   </w:t>
      </w:r>
    </w:p>
    <w:p w:rsidR="00D04F1B" w:rsidRPr="007E1730" w:rsidRDefault="00D04F1B" w:rsidP="00D04F1B">
      <w:pPr>
        <w:jc w:val="right"/>
        <w:rPr>
          <w:rFonts w:ascii="Arial" w:hAnsi="Arial" w:cs="Arial"/>
          <w:b/>
          <w:i/>
          <w:sz w:val="20"/>
          <w:szCs w:val="20"/>
          <w:u w:val="single"/>
        </w:rPr>
      </w:pPr>
      <w:r w:rsidRPr="007E1730">
        <w:rPr>
          <w:rFonts w:ascii="Arial" w:hAnsi="Arial" w:cs="Arial"/>
          <w:b/>
          <w:i/>
          <w:sz w:val="20"/>
          <w:szCs w:val="20"/>
          <w:u w:val="single"/>
        </w:rPr>
        <w:t>To all media – delivery of</w:t>
      </w:r>
    </w:p>
    <w:p w:rsidR="00D04F1B" w:rsidRPr="007E1730" w:rsidRDefault="00D04F1B" w:rsidP="00D04F1B">
      <w:pPr>
        <w:spacing w:after="0" w:line="240" w:lineRule="auto"/>
        <w:jc w:val="center"/>
        <w:rPr>
          <w:rFonts w:ascii="Arial" w:hAnsi="Arial" w:cs="Arial"/>
          <w:b/>
          <w:sz w:val="24"/>
          <w:szCs w:val="24"/>
        </w:rPr>
      </w:pPr>
      <w:r w:rsidRPr="007E1730">
        <w:rPr>
          <w:rFonts w:ascii="Arial" w:hAnsi="Arial" w:cs="Arial"/>
          <w:b/>
          <w:sz w:val="24"/>
          <w:szCs w:val="24"/>
        </w:rPr>
        <w:t xml:space="preserve">TI BiH is organizing a conference entitled </w:t>
      </w:r>
    </w:p>
    <w:p w:rsidR="00D04F1B" w:rsidRPr="007E1730" w:rsidRDefault="00D04F1B" w:rsidP="00D04F1B">
      <w:pPr>
        <w:spacing w:after="0" w:line="240" w:lineRule="auto"/>
        <w:jc w:val="center"/>
        <w:rPr>
          <w:rFonts w:ascii="Arial" w:hAnsi="Arial" w:cs="Arial"/>
          <w:b/>
          <w:i/>
          <w:sz w:val="24"/>
          <w:szCs w:val="24"/>
        </w:rPr>
      </w:pPr>
      <w:r w:rsidRPr="007E1730">
        <w:rPr>
          <w:rFonts w:ascii="Arial" w:hAnsi="Arial" w:cs="Arial"/>
          <w:b/>
          <w:i/>
          <w:sz w:val="24"/>
          <w:szCs w:val="24"/>
        </w:rPr>
        <w:t xml:space="preserve">Transparency and accountability of financing political parties </w:t>
      </w:r>
    </w:p>
    <w:p w:rsidR="00D04F1B" w:rsidRPr="007E1730" w:rsidRDefault="00D04F1B" w:rsidP="00D04F1B">
      <w:pPr>
        <w:jc w:val="center"/>
        <w:rPr>
          <w:rFonts w:ascii="Arial" w:hAnsi="Arial" w:cs="Arial"/>
          <w:b/>
          <w:i/>
          <w:sz w:val="20"/>
          <w:szCs w:val="20"/>
        </w:rPr>
      </w:pPr>
      <w:bookmarkStart w:id="0" w:name="_GoBack"/>
      <w:bookmarkEnd w:id="0"/>
    </w:p>
    <w:p w:rsidR="00D04F1B" w:rsidRPr="007E1730" w:rsidRDefault="00D04F1B" w:rsidP="00D04F1B">
      <w:pPr>
        <w:spacing w:line="240" w:lineRule="auto"/>
        <w:jc w:val="both"/>
        <w:rPr>
          <w:rFonts w:ascii="Arial" w:hAnsi="Arial" w:cs="Arial"/>
          <w:b/>
          <w:sz w:val="20"/>
          <w:szCs w:val="20"/>
        </w:rPr>
      </w:pPr>
    </w:p>
    <w:p w:rsidR="00D04F1B" w:rsidRPr="007E1730" w:rsidRDefault="00D04F1B" w:rsidP="00D04F1B">
      <w:pPr>
        <w:spacing w:line="240" w:lineRule="auto"/>
        <w:jc w:val="both"/>
        <w:rPr>
          <w:rFonts w:ascii="Arial" w:hAnsi="Arial" w:cs="Arial"/>
          <w:i/>
          <w:sz w:val="20"/>
          <w:szCs w:val="20"/>
          <w:lang w:val="hr-BA"/>
        </w:rPr>
      </w:pPr>
      <w:bookmarkStart w:id="1" w:name="OLE_LINK1"/>
      <w:bookmarkStart w:id="2" w:name="OLE_LINK2"/>
      <w:r w:rsidRPr="007E1730">
        <w:rPr>
          <w:rFonts w:ascii="Arial" w:hAnsi="Arial" w:cs="Arial"/>
          <w:b/>
          <w:sz w:val="20"/>
          <w:szCs w:val="20"/>
        </w:rPr>
        <w:t>Sarajevo 13th December 2017 –</w:t>
      </w:r>
      <w:r w:rsidRPr="007E1730">
        <w:rPr>
          <w:rFonts w:ascii="Arial" w:hAnsi="Arial" w:cs="Arial"/>
          <w:sz w:val="20"/>
          <w:szCs w:val="20"/>
        </w:rPr>
        <w:t xml:space="preserve"> </w:t>
      </w:r>
      <w:r w:rsidRPr="007E1730">
        <w:rPr>
          <w:rFonts w:ascii="Arial" w:hAnsi="Arial" w:cs="Arial"/>
          <w:sz w:val="20"/>
          <w:szCs w:val="20"/>
          <w:lang w:val="hr-BA"/>
        </w:rPr>
        <w:t xml:space="preserve">Transparency International in Bosnia and Herzegovina (TI BiH) is organizing a conference entitled </w:t>
      </w:r>
      <w:r w:rsidRPr="007E1730">
        <w:rPr>
          <w:rFonts w:ascii="Arial" w:hAnsi="Arial" w:cs="Arial"/>
          <w:i/>
          <w:sz w:val="20"/>
          <w:szCs w:val="20"/>
          <w:lang w:val="hr-BA"/>
        </w:rPr>
        <w:t xml:space="preserve">Transparency and accountability of financing political parties, </w:t>
      </w:r>
      <w:r w:rsidRPr="007E1730">
        <w:rPr>
          <w:rFonts w:ascii="Arial" w:hAnsi="Arial" w:cs="Arial"/>
          <w:sz w:val="20"/>
          <w:szCs w:val="20"/>
          <w:lang w:val="hr-BA"/>
        </w:rPr>
        <w:t xml:space="preserve">as one of the activities related to the celebration of the International Anti-Corruption Day. </w:t>
      </w:r>
    </w:p>
    <w:p w:rsidR="00D04F1B" w:rsidRPr="007E1730" w:rsidRDefault="00D04F1B" w:rsidP="00D04F1B">
      <w:pPr>
        <w:jc w:val="both"/>
        <w:rPr>
          <w:rFonts w:ascii="Arial" w:hAnsi="Arial" w:cs="Arial"/>
          <w:sz w:val="20"/>
          <w:szCs w:val="20"/>
          <w:lang w:val="hr-BA"/>
        </w:rPr>
      </w:pPr>
      <w:r w:rsidRPr="007E1730">
        <w:rPr>
          <w:rFonts w:ascii="Arial" w:hAnsi="Arial" w:cs="Arial"/>
          <w:sz w:val="20"/>
          <w:szCs w:val="20"/>
          <w:lang w:val="hr-BA"/>
        </w:rPr>
        <w:t xml:space="preserve">A special emphasis </w:t>
      </w:r>
      <w:r w:rsidR="00E63305" w:rsidRPr="007E1730">
        <w:rPr>
          <w:rFonts w:ascii="Arial" w:hAnsi="Arial" w:cs="Arial"/>
          <w:sz w:val="20"/>
          <w:szCs w:val="20"/>
          <w:lang w:val="hr-BA"/>
        </w:rPr>
        <w:t>of the c</w:t>
      </w:r>
      <w:r w:rsidRPr="007E1730">
        <w:rPr>
          <w:rFonts w:ascii="Arial" w:hAnsi="Arial" w:cs="Arial"/>
          <w:sz w:val="20"/>
          <w:szCs w:val="20"/>
          <w:lang w:val="hr-BA"/>
        </w:rPr>
        <w:t xml:space="preserve">onference will be put on presenting the proposal for improvement of the Law on financing political parties, with </w:t>
      </w:r>
      <w:r w:rsidR="00E63305" w:rsidRPr="007E1730">
        <w:rPr>
          <w:rFonts w:ascii="Arial" w:hAnsi="Arial" w:cs="Arial"/>
          <w:sz w:val="20"/>
          <w:szCs w:val="20"/>
          <w:lang w:val="hr-BA"/>
        </w:rPr>
        <w:t xml:space="preserve">reference to the international standards in the field of financing political parties and campaigns, and the level of following those standards in BiH. </w:t>
      </w:r>
    </w:p>
    <w:p w:rsidR="00D04F1B" w:rsidRPr="007E1730" w:rsidRDefault="00E63305" w:rsidP="00D04F1B">
      <w:pPr>
        <w:jc w:val="both"/>
        <w:rPr>
          <w:rFonts w:ascii="Arial" w:hAnsi="Arial" w:cs="Arial"/>
          <w:sz w:val="20"/>
          <w:szCs w:val="20"/>
          <w:lang w:val="hr-BA"/>
        </w:rPr>
      </w:pPr>
      <w:r w:rsidRPr="007E1730">
        <w:rPr>
          <w:rFonts w:ascii="Arial" w:hAnsi="Arial" w:cs="Arial"/>
          <w:sz w:val="20"/>
          <w:szCs w:val="20"/>
          <w:lang w:val="hr-BA"/>
        </w:rPr>
        <w:t>The conference will be attended by the representatives of the relevant institutions in BiH, political parties, Central Election Commission, civil society organizations and the media in order to present the existing situation and the best pra</w:t>
      </w:r>
      <w:r w:rsidR="006F1765" w:rsidRPr="007E1730">
        <w:rPr>
          <w:rFonts w:ascii="Arial" w:hAnsi="Arial" w:cs="Arial"/>
          <w:sz w:val="20"/>
          <w:szCs w:val="20"/>
          <w:lang w:val="hr-BA"/>
        </w:rPr>
        <w:t xml:space="preserve">ctice standards. Also, </w:t>
      </w:r>
      <w:r w:rsidRPr="007E1730">
        <w:rPr>
          <w:rFonts w:ascii="Arial" w:hAnsi="Arial" w:cs="Arial"/>
          <w:sz w:val="20"/>
          <w:szCs w:val="20"/>
          <w:lang w:val="hr-BA"/>
        </w:rPr>
        <w:t xml:space="preserve">the experts from the Group of States </w:t>
      </w:r>
      <w:r w:rsidR="006F1765" w:rsidRPr="007E1730">
        <w:rPr>
          <w:rFonts w:ascii="Arial" w:hAnsi="Arial" w:cs="Arial"/>
          <w:sz w:val="20"/>
          <w:szCs w:val="20"/>
          <w:lang w:val="hr-BA"/>
        </w:rPr>
        <w:t>agai</w:t>
      </w:r>
      <w:r w:rsidR="007E1730">
        <w:rPr>
          <w:rFonts w:ascii="Arial" w:hAnsi="Arial" w:cs="Arial"/>
          <w:sz w:val="20"/>
          <w:szCs w:val="20"/>
          <w:lang w:val="hr-BA"/>
        </w:rPr>
        <w:t>n</w:t>
      </w:r>
      <w:r w:rsidR="006F1765" w:rsidRPr="007E1730">
        <w:rPr>
          <w:rFonts w:ascii="Arial" w:hAnsi="Arial" w:cs="Arial"/>
          <w:sz w:val="20"/>
          <w:szCs w:val="20"/>
          <w:lang w:val="hr-BA"/>
        </w:rPr>
        <w:t xml:space="preserve">st Corruption (GRECO) of the Council of Europe and from the OSCE/ODIHR will participate as panelists. </w:t>
      </w:r>
    </w:p>
    <w:p w:rsidR="00D04F1B" w:rsidRPr="007E1730" w:rsidRDefault="006F1765" w:rsidP="00D04F1B">
      <w:pPr>
        <w:spacing w:line="240" w:lineRule="auto"/>
        <w:jc w:val="both"/>
        <w:rPr>
          <w:rFonts w:ascii="Arial" w:hAnsi="Arial" w:cs="Arial"/>
          <w:sz w:val="20"/>
          <w:szCs w:val="20"/>
          <w:lang w:val="hr-BA"/>
        </w:rPr>
      </w:pPr>
      <w:r w:rsidRPr="007E1730">
        <w:rPr>
          <w:rFonts w:ascii="Arial" w:hAnsi="Arial" w:cs="Arial"/>
          <w:sz w:val="20"/>
          <w:szCs w:val="20"/>
          <w:lang w:val="hr-BA"/>
        </w:rPr>
        <w:t xml:space="preserve">The conference will be held </w:t>
      </w:r>
      <w:r w:rsidRPr="007E1730">
        <w:rPr>
          <w:rFonts w:ascii="Arial" w:hAnsi="Arial" w:cs="Arial"/>
          <w:b/>
          <w:sz w:val="20"/>
          <w:szCs w:val="20"/>
          <w:lang w:val="hr-BA"/>
        </w:rPr>
        <w:t>on Thursday, 14th December 2017 at the Hotel Europe (Atrium hall) in Sarajevo, at 10.30h</w:t>
      </w:r>
      <w:r w:rsidRPr="007E1730">
        <w:rPr>
          <w:rFonts w:ascii="Arial" w:hAnsi="Arial" w:cs="Arial"/>
          <w:sz w:val="20"/>
          <w:szCs w:val="20"/>
          <w:lang w:val="hr-BA"/>
        </w:rPr>
        <w:t xml:space="preserve">. Please find the agenda attached. </w:t>
      </w:r>
    </w:p>
    <w:bookmarkEnd w:id="1"/>
    <w:bookmarkEnd w:id="2"/>
    <w:p w:rsidR="00D04F1B" w:rsidRPr="007E1730" w:rsidRDefault="00D04F1B" w:rsidP="00D04F1B">
      <w:pPr>
        <w:spacing w:line="240" w:lineRule="auto"/>
        <w:ind w:right="4"/>
        <w:jc w:val="center"/>
        <w:rPr>
          <w:rFonts w:ascii="Arial" w:hAnsi="Arial" w:cs="Arial"/>
          <w:sz w:val="20"/>
          <w:szCs w:val="20"/>
          <w:lang w:val="hr-BA"/>
        </w:rPr>
      </w:pPr>
      <w:r w:rsidRPr="007E1730">
        <w:rPr>
          <w:rFonts w:ascii="Arial" w:hAnsi="Arial" w:cs="Arial"/>
          <w:sz w:val="20"/>
          <w:szCs w:val="20"/>
          <w:lang w:val="hr-BA"/>
        </w:rPr>
        <w:br w:type="page"/>
      </w:r>
    </w:p>
    <w:p w:rsidR="00D04F1B" w:rsidRPr="007E1730" w:rsidRDefault="00D04F1B" w:rsidP="00D04F1B">
      <w:pPr>
        <w:spacing w:line="240" w:lineRule="auto"/>
        <w:ind w:right="4"/>
        <w:jc w:val="center"/>
        <w:rPr>
          <w:rFonts w:ascii="Arial" w:hAnsi="Arial" w:cs="Arial"/>
          <w:b/>
          <w:sz w:val="24"/>
          <w:szCs w:val="24"/>
          <w:lang w:val="hr-BA"/>
        </w:rPr>
      </w:pPr>
      <w:r w:rsidRPr="007E1730">
        <w:rPr>
          <w:rFonts w:ascii="Arial" w:hAnsi="Arial" w:cs="Arial"/>
          <w:b/>
          <w:sz w:val="24"/>
          <w:szCs w:val="24"/>
          <w:lang w:val="hr-BA"/>
        </w:rPr>
        <w:lastRenderedPageBreak/>
        <w:t>Tr</w:t>
      </w:r>
      <w:r w:rsidR="006F1765" w:rsidRPr="007E1730">
        <w:rPr>
          <w:rFonts w:ascii="Arial" w:hAnsi="Arial" w:cs="Arial"/>
          <w:b/>
          <w:sz w:val="24"/>
          <w:szCs w:val="24"/>
          <w:lang w:val="hr-BA"/>
        </w:rPr>
        <w:t>ansparency and accountability of financing political p</w:t>
      </w:r>
      <w:r w:rsidR="007E1730">
        <w:rPr>
          <w:rFonts w:ascii="Arial" w:hAnsi="Arial" w:cs="Arial"/>
          <w:b/>
          <w:sz w:val="24"/>
          <w:szCs w:val="24"/>
          <w:lang w:val="hr-BA"/>
        </w:rPr>
        <w:t>a</w:t>
      </w:r>
      <w:r w:rsidR="006F1765" w:rsidRPr="007E1730">
        <w:rPr>
          <w:rFonts w:ascii="Arial" w:hAnsi="Arial" w:cs="Arial"/>
          <w:b/>
          <w:sz w:val="24"/>
          <w:szCs w:val="24"/>
          <w:lang w:val="hr-BA"/>
        </w:rPr>
        <w:t xml:space="preserve">rties </w:t>
      </w:r>
    </w:p>
    <w:p w:rsidR="00D04F1B" w:rsidRPr="007E1730" w:rsidRDefault="006F1765" w:rsidP="00D04F1B">
      <w:pPr>
        <w:spacing w:after="0" w:line="240" w:lineRule="auto"/>
        <w:jc w:val="center"/>
        <w:rPr>
          <w:rFonts w:ascii="Arial" w:hAnsi="Arial" w:cs="Arial"/>
          <w:sz w:val="20"/>
          <w:szCs w:val="20"/>
          <w:lang w:val="hr-BA"/>
        </w:rPr>
      </w:pPr>
      <w:r w:rsidRPr="007E1730">
        <w:rPr>
          <w:rFonts w:ascii="Arial" w:hAnsi="Arial" w:cs="Arial"/>
          <w:sz w:val="20"/>
          <w:szCs w:val="20"/>
          <w:lang w:val="hr-BA"/>
        </w:rPr>
        <w:t xml:space="preserve">Sarajevo, 14th December 2017 </w:t>
      </w:r>
    </w:p>
    <w:p w:rsidR="00D04F1B" w:rsidRPr="007E1730" w:rsidRDefault="00D04F1B" w:rsidP="00D04F1B">
      <w:pPr>
        <w:spacing w:after="0" w:line="240" w:lineRule="auto"/>
        <w:jc w:val="center"/>
        <w:rPr>
          <w:rFonts w:ascii="Arial" w:hAnsi="Arial" w:cs="Arial"/>
          <w:sz w:val="20"/>
          <w:szCs w:val="20"/>
          <w:lang w:val="hr-BA"/>
        </w:rPr>
      </w:pPr>
      <w:r w:rsidRPr="007E1730">
        <w:rPr>
          <w:rFonts w:ascii="Arial" w:hAnsi="Arial" w:cs="Arial"/>
          <w:sz w:val="20"/>
          <w:szCs w:val="20"/>
          <w:lang w:val="hr-BA"/>
        </w:rPr>
        <w:t>Hotel Europe, Sarajevo</w:t>
      </w:r>
    </w:p>
    <w:p w:rsidR="00D04F1B" w:rsidRPr="007E1730" w:rsidRDefault="00D04F1B" w:rsidP="00D04F1B">
      <w:pPr>
        <w:spacing w:line="240" w:lineRule="auto"/>
        <w:jc w:val="center"/>
        <w:rPr>
          <w:rFonts w:ascii="Arial" w:hAnsi="Arial" w:cs="Arial"/>
          <w:sz w:val="20"/>
          <w:szCs w:val="20"/>
          <w:lang w:val="hr-BA"/>
        </w:rPr>
      </w:pPr>
    </w:p>
    <w:p w:rsidR="00D04F1B" w:rsidRPr="007E1730" w:rsidRDefault="006F1765" w:rsidP="00D04F1B">
      <w:pPr>
        <w:spacing w:line="240" w:lineRule="auto"/>
        <w:jc w:val="center"/>
        <w:rPr>
          <w:rFonts w:ascii="Arial" w:hAnsi="Arial" w:cs="Arial"/>
          <w:b/>
          <w:sz w:val="20"/>
          <w:szCs w:val="20"/>
          <w:lang w:val="hr-BA"/>
        </w:rPr>
      </w:pPr>
      <w:r w:rsidRPr="007E1730">
        <w:rPr>
          <w:rFonts w:ascii="Arial" w:hAnsi="Arial" w:cs="Arial"/>
          <w:b/>
          <w:sz w:val="20"/>
          <w:szCs w:val="20"/>
          <w:lang w:val="hr-BA"/>
        </w:rPr>
        <w:t>Draft Agenda</w:t>
      </w:r>
    </w:p>
    <w:p w:rsidR="00D04F1B" w:rsidRPr="007E1730" w:rsidRDefault="00D04F1B" w:rsidP="00D04F1B">
      <w:pPr>
        <w:spacing w:line="240" w:lineRule="auto"/>
        <w:jc w:val="both"/>
        <w:rPr>
          <w:rFonts w:ascii="Arial" w:hAnsi="Arial" w:cs="Arial"/>
          <w:b/>
          <w:sz w:val="20"/>
          <w:szCs w:val="20"/>
          <w:lang w:val="hr-BA"/>
        </w:rPr>
      </w:pPr>
      <w:r w:rsidRPr="007E1730">
        <w:rPr>
          <w:rFonts w:ascii="Arial" w:hAnsi="Arial" w:cs="Arial"/>
          <w:b/>
          <w:sz w:val="20"/>
          <w:szCs w:val="20"/>
          <w:lang w:val="hr-BA"/>
        </w:rPr>
        <w:t xml:space="preserve">10:30 – 11.00   </w:t>
      </w:r>
      <w:r w:rsidR="006F1765" w:rsidRPr="007E1730">
        <w:rPr>
          <w:rFonts w:ascii="Arial" w:hAnsi="Arial" w:cs="Arial"/>
          <w:b/>
          <w:sz w:val="20"/>
          <w:szCs w:val="20"/>
          <w:lang w:val="hr-BA"/>
        </w:rPr>
        <w:t xml:space="preserve">Registration of participants and the press conference </w:t>
      </w:r>
    </w:p>
    <w:p w:rsidR="00D04F1B" w:rsidRPr="007E1730" w:rsidRDefault="00D04F1B" w:rsidP="00D04F1B">
      <w:pPr>
        <w:spacing w:before="240" w:line="240" w:lineRule="auto"/>
        <w:jc w:val="both"/>
        <w:rPr>
          <w:rFonts w:ascii="Arial" w:hAnsi="Arial" w:cs="Arial"/>
          <w:sz w:val="20"/>
          <w:szCs w:val="20"/>
          <w:lang w:val="hr-BA"/>
        </w:rPr>
      </w:pPr>
      <w:r w:rsidRPr="007E1730">
        <w:rPr>
          <w:rFonts w:ascii="Arial" w:hAnsi="Arial" w:cs="Arial"/>
          <w:b/>
          <w:sz w:val="20"/>
          <w:szCs w:val="20"/>
          <w:lang w:val="hr-BA"/>
        </w:rPr>
        <w:t>11:00 – 11:20</w:t>
      </w:r>
      <w:r w:rsidRPr="007E1730">
        <w:rPr>
          <w:rFonts w:ascii="Arial" w:hAnsi="Arial" w:cs="Arial"/>
          <w:sz w:val="20"/>
          <w:szCs w:val="20"/>
          <w:lang w:val="hr-BA"/>
        </w:rPr>
        <w:t xml:space="preserve">   </w:t>
      </w:r>
      <w:r w:rsidR="006F1765" w:rsidRPr="007E1730">
        <w:rPr>
          <w:rFonts w:ascii="Arial" w:hAnsi="Arial" w:cs="Arial"/>
          <w:b/>
          <w:sz w:val="20"/>
          <w:szCs w:val="20"/>
          <w:lang w:val="hr-BA"/>
        </w:rPr>
        <w:t>Introductory lectures</w:t>
      </w:r>
    </w:p>
    <w:p w:rsidR="00D04F1B" w:rsidRPr="007E1730" w:rsidRDefault="006F1765" w:rsidP="00D04F1B">
      <w:pPr>
        <w:numPr>
          <w:ilvl w:val="0"/>
          <w:numId w:val="4"/>
        </w:numPr>
        <w:spacing w:after="0" w:line="240" w:lineRule="auto"/>
        <w:contextualSpacing/>
        <w:jc w:val="both"/>
        <w:rPr>
          <w:rFonts w:ascii="Arial" w:hAnsi="Arial" w:cs="Arial"/>
          <w:i/>
          <w:sz w:val="20"/>
          <w:szCs w:val="20"/>
          <w:lang w:val="hr-BA"/>
        </w:rPr>
      </w:pPr>
      <w:r w:rsidRPr="007E1730">
        <w:rPr>
          <w:rFonts w:ascii="Arial" w:hAnsi="Arial" w:cs="Arial"/>
          <w:sz w:val="20"/>
          <w:szCs w:val="20"/>
          <w:lang w:val="hr-BA"/>
        </w:rPr>
        <w:t>Srdjan Blagovc</w:t>
      </w:r>
      <w:r w:rsidR="00D04F1B" w:rsidRPr="007E1730">
        <w:rPr>
          <w:rFonts w:ascii="Arial" w:hAnsi="Arial" w:cs="Arial"/>
          <w:sz w:val="20"/>
          <w:szCs w:val="20"/>
          <w:lang w:val="hr-BA"/>
        </w:rPr>
        <w:t>anin</w:t>
      </w:r>
      <w:r w:rsidR="00D04F1B" w:rsidRPr="007E1730">
        <w:rPr>
          <w:rFonts w:ascii="Arial" w:hAnsi="Arial" w:cs="Arial"/>
          <w:i/>
          <w:sz w:val="20"/>
          <w:szCs w:val="20"/>
          <w:lang w:val="hr-BA"/>
        </w:rPr>
        <w:t xml:space="preserve">, </w:t>
      </w:r>
      <w:r w:rsidRPr="007E1730">
        <w:rPr>
          <w:rFonts w:ascii="Arial" w:hAnsi="Arial" w:cs="Arial"/>
          <w:sz w:val="20"/>
          <w:szCs w:val="20"/>
          <w:lang w:val="hr-BA"/>
        </w:rPr>
        <w:t xml:space="preserve">Chairman of the Board of Directors of TI BiH </w:t>
      </w:r>
    </w:p>
    <w:p w:rsidR="00D04F1B" w:rsidRPr="007E1730" w:rsidRDefault="00D04F1B" w:rsidP="00D04F1B">
      <w:pPr>
        <w:numPr>
          <w:ilvl w:val="0"/>
          <w:numId w:val="4"/>
        </w:numPr>
        <w:spacing w:after="0" w:line="240" w:lineRule="auto"/>
        <w:contextualSpacing/>
        <w:jc w:val="both"/>
        <w:rPr>
          <w:rFonts w:ascii="Arial" w:hAnsi="Arial" w:cs="Arial"/>
          <w:i/>
          <w:sz w:val="20"/>
          <w:szCs w:val="20"/>
          <w:lang w:val="hr-BA"/>
        </w:rPr>
      </w:pPr>
      <w:r w:rsidRPr="007E1730">
        <w:rPr>
          <w:rFonts w:ascii="Arial" w:hAnsi="Arial" w:cs="Arial"/>
          <w:sz w:val="20"/>
          <w:szCs w:val="20"/>
          <w:lang w:val="hr-BA"/>
        </w:rPr>
        <w:t>Matthew Lawson</w:t>
      </w:r>
      <w:r w:rsidRPr="007E1730">
        <w:rPr>
          <w:rFonts w:ascii="Arial" w:hAnsi="Arial" w:cs="Arial"/>
          <w:i/>
          <w:sz w:val="20"/>
          <w:szCs w:val="20"/>
          <w:lang w:val="hr-BA"/>
        </w:rPr>
        <w:t xml:space="preserve">, </w:t>
      </w:r>
      <w:r w:rsidR="006F1765" w:rsidRPr="007E1730">
        <w:rPr>
          <w:rFonts w:ascii="Arial" w:hAnsi="Arial" w:cs="Arial"/>
          <w:sz w:val="20"/>
          <w:szCs w:val="20"/>
          <w:lang w:val="hr-BA"/>
        </w:rPr>
        <w:t xml:space="preserve">Deputy Head of Mission of Great Britain to BiH </w:t>
      </w:r>
    </w:p>
    <w:p w:rsidR="00D04F1B" w:rsidRPr="007E1730" w:rsidRDefault="00D04F1B" w:rsidP="00D04F1B">
      <w:pPr>
        <w:spacing w:before="240" w:line="240" w:lineRule="auto"/>
        <w:ind w:left="1440" w:hanging="1440"/>
        <w:jc w:val="both"/>
        <w:rPr>
          <w:rFonts w:ascii="Arial" w:hAnsi="Arial" w:cs="Arial"/>
          <w:b/>
          <w:sz w:val="20"/>
          <w:szCs w:val="20"/>
          <w:lang w:val="hr-BA"/>
        </w:rPr>
      </w:pPr>
      <w:r w:rsidRPr="007E1730">
        <w:rPr>
          <w:rFonts w:ascii="Arial" w:hAnsi="Arial" w:cs="Arial"/>
          <w:b/>
          <w:sz w:val="20"/>
          <w:szCs w:val="20"/>
          <w:lang w:val="hr-BA"/>
        </w:rPr>
        <w:t>11:20 – 12:20</w:t>
      </w:r>
      <w:r w:rsidRPr="007E1730">
        <w:rPr>
          <w:rFonts w:ascii="Arial" w:hAnsi="Arial" w:cs="Arial"/>
          <w:sz w:val="20"/>
          <w:szCs w:val="20"/>
          <w:lang w:val="hr-BA"/>
        </w:rPr>
        <w:tab/>
      </w:r>
      <w:r w:rsidR="006F1765" w:rsidRPr="007E1730">
        <w:rPr>
          <w:rFonts w:ascii="Arial" w:hAnsi="Arial" w:cs="Arial"/>
          <w:b/>
          <w:sz w:val="20"/>
          <w:szCs w:val="20"/>
          <w:lang w:val="hr-BA"/>
        </w:rPr>
        <w:t>Panel I – International standards and the best practices</w:t>
      </w:r>
    </w:p>
    <w:p w:rsidR="00D04F1B" w:rsidRPr="007E1730" w:rsidRDefault="00D04F1B" w:rsidP="00D04F1B">
      <w:pPr>
        <w:numPr>
          <w:ilvl w:val="0"/>
          <w:numId w:val="5"/>
        </w:numPr>
        <w:spacing w:after="0" w:line="240" w:lineRule="auto"/>
        <w:ind w:firstLine="1080"/>
        <w:contextualSpacing/>
        <w:jc w:val="both"/>
        <w:rPr>
          <w:rFonts w:ascii="Arial" w:hAnsi="Arial" w:cs="Arial"/>
          <w:sz w:val="20"/>
          <w:szCs w:val="20"/>
          <w:lang w:val="hr-BA"/>
        </w:rPr>
      </w:pPr>
      <w:r w:rsidRPr="007E1730">
        <w:rPr>
          <w:rFonts w:ascii="Arial" w:hAnsi="Arial" w:cs="Arial"/>
          <w:sz w:val="20"/>
          <w:szCs w:val="20"/>
          <w:lang w:val="hr-BA"/>
        </w:rPr>
        <w:t xml:space="preserve">Richard Wood, </w:t>
      </w:r>
      <w:r w:rsidR="006F1765" w:rsidRPr="007E1730">
        <w:rPr>
          <w:rFonts w:ascii="Arial" w:hAnsi="Arial" w:cs="Arial"/>
          <w:sz w:val="20"/>
          <w:szCs w:val="20"/>
          <w:lang w:val="hr-BA"/>
        </w:rPr>
        <w:t xml:space="preserve">Head of Rule of Law Section, </w:t>
      </w:r>
      <w:r w:rsidRPr="007E1730">
        <w:rPr>
          <w:rFonts w:ascii="Arial" w:hAnsi="Arial" w:cs="Arial"/>
          <w:sz w:val="20"/>
          <w:szCs w:val="20"/>
          <w:lang w:val="hr-BA"/>
        </w:rPr>
        <w:t>EUSR in BiH</w:t>
      </w:r>
    </w:p>
    <w:p w:rsidR="00D04F1B" w:rsidRPr="007E1730" w:rsidRDefault="00D04F1B" w:rsidP="00D04F1B">
      <w:pPr>
        <w:numPr>
          <w:ilvl w:val="0"/>
          <w:numId w:val="5"/>
        </w:numPr>
        <w:spacing w:after="0" w:line="240" w:lineRule="auto"/>
        <w:ind w:firstLine="1080"/>
        <w:contextualSpacing/>
        <w:jc w:val="both"/>
        <w:rPr>
          <w:rFonts w:ascii="Arial" w:hAnsi="Arial" w:cs="Arial"/>
          <w:sz w:val="20"/>
          <w:szCs w:val="20"/>
          <w:lang w:val="hr-BA"/>
        </w:rPr>
      </w:pPr>
      <w:r w:rsidRPr="007E1730">
        <w:rPr>
          <w:rFonts w:ascii="Arial" w:hAnsi="Arial" w:cs="Arial"/>
          <w:sz w:val="20"/>
          <w:szCs w:val="20"/>
          <w:lang w:val="hr-BA"/>
        </w:rPr>
        <w:t xml:space="preserve">Yves-Marie Doublet, </w:t>
      </w:r>
      <w:r w:rsidR="006F1765" w:rsidRPr="007E1730">
        <w:rPr>
          <w:rFonts w:ascii="Arial" w:hAnsi="Arial" w:cs="Arial"/>
          <w:sz w:val="20"/>
          <w:szCs w:val="20"/>
          <w:lang w:val="hr-BA"/>
        </w:rPr>
        <w:t xml:space="preserve">an </w:t>
      </w:r>
      <w:r w:rsidR="007E1730" w:rsidRPr="007E1730">
        <w:rPr>
          <w:rFonts w:ascii="Arial" w:hAnsi="Arial" w:cs="Arial"/>
          <w:sz w:val="20"/>
          <w:szCs w:val="20"/>
          <w:lang w:val="hr-BA"/>
        </w:rPr>
        <w:t>E</w:t>
      </w:r>
      <w:r w:rsidR="006F1765" w:rsidRPr="007E1730">
        <w:rPr>
          <w:rFonts w:ascii="Arial" w:hAnsi="Arial" w:cs="Arial"/>
          <w:sz w:val="20"/>
          <w:szCs w:val="20"/>
          <w:lang w:val="hr-BA"/>
        </w:rPr>
        <w:t>xpert of the Group of States against Corruption</w:t>
      </w:r>
      <w:r w:rsidRPr="007E1730">
        <w:rPr>
          <w:rFonts w:ascii="Arial" w:hAnsi="Arial" w:cs="Arial"/>
          <w:sz w:val="20"/>
          <w:szCs w:val="20"/>
          <w:lang w:val="hr-BA"/>
        </w:rPr>
        <w:t xml:space="preserve"> (GRECO)</w:t>
      </w:r>
    </w:p>
    <w:p w:rsidR="00D04F1B" w:rsidRPr="007E1730" w:rsidRDefault="00D04F1B" w:rsidP="00D04F1B">
      <w:pPr>
        <w:numPr>
          <w:ilvl w:val="0"/>
          <w:numId w:val="5"/>
        </w:numPr>
        <w:spacing w:after="0" w:line="240" w:lineRule="auto"/>
        <w:ind w:firstLine="1080"/>
        <w:contextualSpacing/>
        <w:jc w:val="both"/>
        <w:rPr>
          <w:rFonts w:ascii="Arial" w:hAnsi="Arial" w:cs="Arial"/>
          <w:sz w:val="20"/>
          <w:szCs w:val="20"/>
          <w:lang w:val="hr-BA"/>
        </w:rPr>
      </w:pPr>
      <w:r w:rsidRPr="007E1730">
        <w:rPr>
          <w:rFonts w:ascii="Arial" w:hAnsi="Arial" w:cs="Arial"/>
          <w:sz w:val="20"/>
          <w:szCs w:val="20"/>
          <w:lang w:val="hr-BA"/>
        </w:rPr>
        <w:t xml:space="preserve">Daniel Smilov, </w:t>
      </w:r>
      <w:r w:rsidR="007E1730" w:rsidRPr="007E1730">
        <w:rPr>
          <w:rFonts w:ascii="Arial" w:hAnsi="Arial" w:cs="Arial"/>
          <w:sz w:val="20"/>
          <w:szCs w:val="20"/>
          <w:lang w:val="hr-BA"/>
        </w:rPr>
        <w:t>a M</w:t>
      </w:r>
      <w:r w:rsidR="006F1765" w:rsidRPr="007E1730">
        <w:rPr>
          <w:rFonts w:ascii="Arial" w:hAnsi="Arial" w:cs="Arial"/>
          <w:sz w:val="20"/>
          <w:szCs w:val="20"/>
          <w:lang w:val="hr-BA"/>
        </w:rPr>
        <w:t xml:space="preserve">ember of the expert group of ODIHR for political parties </w:t>
      </w:r>
    </w:p>
    <w:p w:rsidR="00D04F1B" w:rsidRPr="007E1730" w:rsidRDefault="00D04F1B" w:rsidP="00D04F1B">
      <w:pPr>
        <w:spacing w:after="0" w:line="240" w:lineRule="auto"/>
        <w:jc w:val="both"/>
        <w:rPr>
          <w:rFonts w:ascii="Arial" w:hAnsi="Arial" w:cs="Arial"/>
          <w:sz w:val="20"/>
          <w:szCs w:val="20"/>
          <w:lang w:val="hr-BA"/>
        </w:rPr>
      </w:pPr>
    </w:p>
    <w:p w:rsidR="00D04F1B" w:rsidRPr="007E1730" w:rsidRDefault="00D04F1B" w:rsidP="00D04F1B">
      <w:pPr>
        <w:spacing w:after="0" w:line="240" w:lineRule="auto"/>
        <w:jc w:val="both"/>
        <w:rPr>
          <w:rFonts w:ascii="Arial" w:hAnsi="Arial" w:cs="Arial"/>
          <w:b/>
          <w:sz w:val="20"/>
          <w:szCs w:val="20"/>
          <w:lang w:val="hr-BA"/>
        </w:rPr>
      </w:pPr>
      <w:r w:rsidRPr="007E1730">
        <w:rPr>
          <w:rFonts w:ascii="Arial" w:hAnsi="Arial" w:cs="Arial"/>
          <w:b/>
          <w:sz w:val="20"/>
          <w:szCs w:val="20"/>
          <w:lang w:val="hr-BA"/>
        </w:rPr>
        <w:t>12:20 – 1</w:t>
      </w:r>
      <w:r w:rsidR="006F1765" w:rsidRPr="007E1730">
        <w:rPr>
          <w:rFonts w:ascii="Arial" w:hAnsi="Arial" w:cs="Arial"/>
          <w:b/>
          <w:sz w:val="20"/>
          <w:szCs w:val="20"/>
          <w:lang w:val="hr-BA"/>
        </w:rPr>
        <w:t>2:40 Coffee break</w:t>
      </w:r>
    </w:p>
    <w:p w:rsidR="00D04F1B" w:rsidRPr="007E1730" w:rsidRDefault="00D04F1B" w:rsidP="00D04F1B">
      <w:pPr>
        <w:spacing w:before="240" w:line="240" w:lineRule="auto"/>
        <w:ind w:left="1440" w:hanging="1440"/>
        <w:jc w:val="both"/>
        <w:rPr>
          <w:rFonts w:ascii="Arial" w:hAnsi="Arial" w:cs="Arial"/>
          <w:b/>
          <w:sz w:val="20"/>
          <w:szCs w:val="20"/>
          <w:lang w:val="hr-BA"/>
        </w:rPr>
      </w:pPr>
      <w:r w:rsidRPr="007E1730">
        <w:rPr>
          <w:rFonts w:ascii="Arial" w:hAnsi="Arial" w:cs="Arial"/>
          <w:b/>
          <w:sz w:val="20"/>
          <w:szCs w:val="20"/>
          <w:lang w:val="hr-BA"/>
        </w:rPr>
        <w:t>12:40 – 13:40</w:t>
      </w:r>
      <w:r w:rsidRPr="007E1730">
        <w:rPr>
          <w:rFonts w:ascii="Arial" w:hAnsi="Arial" w:cs="Arial"/>
          <w:sz w:val="20"/>
          <w:szCs w:val="20"/>
          <w:lang w:val="hr-BA"/>
        </w:rPr>
        <w:tab/>
      </w:r>
      <w:r w:rsidRPr="007E1730">
        <w:rPr>
          <w:rFonts w:ascii="Arial" w:hAnsi="Arial" w:cs="Arial"/>
          <w:b/>
          <w:sz w:val="20"/>
          <w:szCs w:val="20"/>
          <w:lang w:val="hr-BA"/>
        </w:rPr>
        <w:t xml:space="preserve">Panel II – </w:t>
      </w:r>
      <w:r w:rsidR="006F1765" w:rsidRPr="007E1730">
        <w:rPr>
          <w:rFonts w:ascii="Arial" w:hAnsi="Arial" w:cs="Arial"/>
          <w:b/>
          <w:sz w:val="20"/>
          <w:szCs w:val="20"/>
          <w:lang w:val="hr-BA"/>
        </w:rPr>
        <w:t xml:space="preserve">Financing political parties in BiH – recommendations for improving the legal framework </w:t>
      </w:r>
    </w:p>
    <w:p w:rsidR="00D04F1B" w:rsidRPr="007E1730" w:rsidRDefault="006F1765" w:rsidP="00D04F1B">
      <w:pPr>
        <w:numPr>
          <w:ilvl w:val="2"/>
          <w:numId w:val="6"/>
        </w:numPr>
        <w:spacing w:after="0" w:line="240" w:lineRule="auto"/>
        <w:contextualSpacing/>
        <w:jc w:val="both"/>
        <w:rPr>
          <w:rFonts w:ascii="Arial" w:hAnsi="Arial" w:cs="Arial"/>
          <w:i/>
          <w:sz w:val="20"/>
          <w:szCs w:val="20"/>
          <w:lang w:val="hr-BA"/>
        </w:rPr>
      </w:pPr>
      <w:r w:rsidRPr="007E1730">
        <w:rPr>
          <w:rFonts w:ascii="Arial" w:hAnsi="Arial" w:cs="Arial"/>
          <w:sz w:val="20"/>
          <w:szCs w:val="20"/>
          <w:lang w:val="hr-BA"/>
        </w:rPr>
        <w:t>Irena Hadziabdic</w:t>
      </w:r>
      <w:r w:rsidR="00D04F1B" w:rsidRPr="007E1730">
        <w:rPr>
          <w:rFonts w:ascii="Arial" w:hAnsi="Arial" w:cs="Arial"/>
          <w:sz w:val="20"/>
          <w:szCs w:val="20"/>
          <w:lang w:val="hr-BA"/>
        </w:rPr>
        <w:t>,</w:t>
      </w:r>
      <w:r w:rsidR="00BC3B7C" w:rsidRPr="007E1730">
        <w:rPr>
          <w:rFonts w:ascii="Arial" w:hAnsi="Arial" w:cs="Arial"/>
          <w:sz w:val="20"/>
          <w:szCs w:val="20"/>
          <w:lang w:val="hr-BA"/>
        </w:rPr>
        <w:t xml:space="preserve"> President of the BiH Central Election Commission</w:t>
      </w:r>
      <w:r w:rsidR="00D04F1B" w:rsidRPr="007E1730">
        <w:rPr>
          <w:rFonts w:ascii="Arial" w:hAnsi="Arial" w:cs="Arial"/>
          <w:sz w:val="20"/>
          <w:szCs w:val="20"/>
          <w:lang w:val="hr-BA"/>
        </w:rPr>
        <w:t xml:space="preserve"> </w:t>
      </w:r>
    </w:p>
    <w:p w:rsidR="00D04F1B" w:rsidRPr="007E1730" w:rsidRDefault="00BC3B7C" w:rsidP="00D04F1B">
      <w:pPr>
        <w:numPr>
          <w:ilvl w:val="2"/>
          <w:numId w:val="6"/>
        </w:numPr>
        <w:spacing w:after="0" w:line="240" w:lineRule="auto"/>
        <w:contextualSpacing/>
        <w:jc w:val="both"/>
        <w:rPr>
          <w:rFonts w:ascii="Arial" w:hAnsi="Arial" w:cs="Arial"/>
          <w:i/>
          <w:sz w:val="20"/>
          <w:szCs w:val="20"/>
          <w:lang w:val="hr-BA"/>
        </w:rPr>
      </w:pPr>
      <w:r w:rsidRPr="007E1730">
        <w:rPr>
          <w:rFonts w:ascii="Arial" w:hAnsi="Arial" w:cs="Arial"/>
          <w:sz w:val="20"/>
          <w:szCs w:val="20"/>
          <w:lang w:val="hr-BA"/>
        </w:rPr>
        <w:t>Ivana Korajlic, Transparency International in Bosnia and Herzegovina</w:t>
      </w:r>
    </w:p>
    <w:p w:rsidR="00D04F1B" w:rsidRPr="007E1730" w:rsidRDefault="00D04F1B" w:rsidP="00D04F1B">
      <w:pPr>
        <w:numPr>
          <w:ilvl w:val="2"/>
          <w:numId w:val="6"/>
        </w:numPr>
        <w:spacing w:after="0" w:line="240" w:lineRule="auto"/>
        <w:contextualSpacing/>
        <w:jc w:val="both"/>
        <w:rPr>
          <w:rFonts w:ascii="Arial" w:hAnsi="Arial" w:cs="Arial"/>
          <w:i/>
          <w:sz w:val="20"/>
          <w:szCs w:val="20"/>
          <w:lang w:val="hr-BA"/>
        </w:rPr>
      </w:pPr>
      <w:r w:rsidRPr="007E1730">
        <w:rPr>
          <w:rFonts w:ascii="Arial" w:hAnsi="Arial" w:cs="Arial"/>
          <w:sz w:val="20"/>
          <w:szCs w:val="20"/>
          <w:lang w:val="hr-BA"/>
        </w:rPr>
        <w:t xml:space="preserve">Halid Genjac, </w:t>
      </w:r>
      <w:r w:rsidR="007E1730" w:rsidRPr="007E1730">
        <w:rPr>
          <w:rFonts w:ascii="Arial" w:hAnsi="Arial" w:cs="Arial"/>
          <w:sz w:val="20"/>
          <w:szCs w:val="20"/>
          <w:lang w:val="hr-BA"/>
        </w:rPr>
        <w:t>Delegate of the House of Peoples, member of the Interdepartmental working group for amendments to electoral legislation</w:t>
      </w:r>
    </w:p>
    <w:p w:rsidR="00D04F1B" w:rsidRPr="007E1730" w:rsidRDefault="007E1730" w:rsidP="00D04F1B">
      <w:pPr>
        <w:numPr>
          <w:ilvl w:val="2"/>
          <w:numId w:val="6"/>
        </w:numPr>
        <w:spacing w:after="0" w:line="240" w:lineRule="auto"/>
        <w:contextualSpacing/>
        <w:jc w:val="both"/>
        <w:rPr>
          <w:rFonts w:ascii="Arial" w:hAnsi="Arial" w:cs="Arial"/>
          <w:i/>
          <w:sz w:val="20"/>
          <w:szCs w:val="20"/>
          <w:lang w:val="hr-BA"/>
        </w:rPr>
      </w:pPr>
      <w:r w:rsidRPr="007E1730">
        <w:rPr>
          <w:rFonts w:ascii="Arial" w:hAnsi="Arial" w:cs="Arial"/>
          <w:sz w:val="20"/>
          <w:szCs w:val="20"/>
          <w:lang w:val="hr-BA"/>
        </w:rPr>
        <w:t>Jelena Tanaskovic Micanovic, coalition</w:t>
      </w:r>
      <w:r w:rsidR="00D04F1B" w:rsidRPr="007E1730">
        <w:rPr>
          <w:rFonts w:ascii="Arial" w:hAnsi="Arial" w:cs="Arial"/>
          <w:sz w:val="20"/>
          <w:szCs w:val="20"/>
          <w:lang w:val="hr-BA"/>
        </w:rPr>
        <w:t xml:space="preserve"> Pod Lupom </w:t>
      </w:r>
    </w:p>
    <w:p w:rsidR="00D04F1B" w:rsidRPr="007E1730" w:rsidRDefault="00D04F1B" w:rsidP="00D04F1B">
      <w:pPr>
        <w:spacing w:after="0" w:line="240" w:lineRule="auto"/>
        <w:jc w:val="both"/>
        <w:rPr>
          <w:rFonts w:ascii="Arial" w:hAnsi="Arial" w:cs="Arial"/>
          <w:i/>
          <w:sz w:val="20"/>
          <w:szCs w:val="20"/>
          <w:lang w:val="hr-BA"/>
        </w:rPr>
      </w:pPr>
    </w:p>
    <w:p w:rsidR="00D04F1B" w:rsidRPr="007E1730" w:rsidRDefault="007E1730" w:rsidP="00D04F1B">
      <w:pPr>
        <w:spacing w:after="0" w:line="240" w:lineRule="auto"/>
        <w:jc w:val="both"/>
        <w:rPr>
          <w:rFonts w:ascii="Arial" w:hAnsi="Arial" w:cs="Arial"/>
          <w:b/>
          <w:sz w:val="20"/>
          <w:szCs w:val="20"/>
          <w:lang w:val="hr-BA"/>
        </w:rPr>
      </w:pPr>
      <w:r w:rsidRPr="007E1730">
        <w:rPr>
          <w:rFonts w:ascii="Arial" w:hAnsi="Arial" w:cs="Arial"/>
          <w:b/>
          <w:sz w:val="20"/>
          <w:szCs w:val="20"/>
          <w:lang w:val="hr-BA"/>
        </w:rPr>
        <w:t>13:40 – 14:00   Discussion</w:t>
      </w:r>
    </w:p>
    <w:p w:rsidR="00D04F1B" w:rsidRPr="007E1730" w:rsidRDefault="00D04F1B" w:rsidP="00D04F1B">
      <w:pPr>
        <w:spacing w:after="0" w:line="240" w:lineRule="auto"/>
        <w:jc w:val="both"/>
        <w:rPr>
          <w:rFonts w:ascii="Arial" w:hAnsi="Arial" w:cs="Arial"/>
          <w:sz w:val="20"/>
          <w:szCs w:val="20"/>
          <w:lang w:val="hr-BA"/>
        </w:rPr>
      </w:pPr>
    </w:p>
    <w:p w:rsidR="00D04F1B" w:rsidRPr="007E1730" w:rsidRDefault="007E1730" w:rsidP="00D04F1B">
      <w:pPr>
        <w:rPr>
          <w:rFonts w:ascii="Arial" w:hAnsi="Arial" w:cs="Arial"/>
          <w:b/>
          <w:sz w:val="20"/>
          <w:szCs w:val="20"/>
          <w:lang w:val="hr-BA"/>
        </w:rPr>
      </w:pPr>
      <w:r w:rsidRPr="007E1730">
        <w:rPr>
          <w:rFonts w:ascii="Arial" w:hAnsi="Arial" w:cs="Arial"/>
          <w:b/>
          <w:sz w:val="20"/>
          <w:szCs w:val="20"/>
          <w:lang w:val="hr-BA"/>
        </w:rPr>
        <w:t>14:00 Lunch</w:t>
      </w:r>
    </w:p>
    <w:p w:rsidR="00D04F1B" w:rsidRPr="007E1730" w:rsidRDefault="00D04F1B" w:rsidP="00D04F1B">
      <w:pPr>
        <w:jc w:val="center"/>
        <w:rPr>
          <w:rFonts w:ascii="Times New Roman" w:hAnsi="Times New Roman"/>
          <w:b/>
          <w:vertAlign w:val="superscript"/>
          <w:lang w:val="hr-BA"/>
        </w:rPr>
      </w:pPr>
      <w:r w:rsidRPr="007E1730">
        <w:rPr>
          <w:rFonts w:ascii="Times New Roman" w:hAnsi="Times New Roman"/>
          <w:b/>
          <w:vertAlign w:val="superscript"/>
          <w:lang w:val="hr-BA"/>
        </w:rPr>
        <w:t>***</w:t>
      </w:r>
    </w:p>
    <w:p w:rsidR="00D04F1B" w:rsidRPr="007E1730" w:rsidRDefault="00D04F1B" w:rsidP="00D04F1B">
      <w:pPr>
        <w:spacing w:line="240" w:lineRule="auto"/>
        <w:rPr>
          <w:rFonts w:ascii="Times New Roman" w:hAnsi="Times New Roman"/>
          <w:b/>
          <w:lang w:val="hr-BA"/>
        </w:rPr>
      </w:pPr>
    </w:p>
    <w:p w:rsidR="00D04F1B" w:rsidRPr="007E1730" w:rsidRDefault="00D04F1B" w:rsidP="00D04F1B">
      <w:pPr>
        <w:spacing w:line="240" w:lineRule="auto"/>
        <w:jc w:val="both"/>
        <w:rPr>
          <w:rFonts w:ascii="Arial" w:hAnsi="Arial" w:cs="Arial"/>
          <w:sz w:val="20"/>
          <w:szCs w:val="20"/>
          <w:lang w:val="hr-BA"/>
        </w:rPr>
      </w:pPr>
    </w:p>
    <w:p w:rsidR="003030BC" w:rsidRPr="007E1730" w:rsidRDefault="00840EA5" w:rsidP="00D04F1B">
      <w:pPr>
        <w:spacing w:after="0" w:line="240" w:lineRule="auto"/>
        <w:ind w:left="1080"/>
        <w:contextualSpacing/>
        <w:jc w:val="both"/>
      </w:pPr>
      <w:r w:rsidRPr="007E1730">
        <w:rPr>
          <w:rFonts w:ascii="Arial" w:hAnsi="Arial" w:cs="Arial"/>
          <w:sz w:val="20"/>
          <w:szCs w:val="20"/>
        </w:rPr>
        <w:t xml:space="preserve"> </w:t>
      </w:r>
    </w:p>
    <w:sectPr w:rsidR="003030BC" w:rsidRPr="007E1730" w:rsidSect="00DE6FB3">
      <w:headerReference w:type="even" r:id="rId9"/>
      <w:headerReference w:type="default" r:id="rId10"/>
      <w:footerReference w:type="even" r:id="rId11"/>
      <w:footerReference w:type="default" r:id="rId12"/>
      <w:headerReference w:type="first" r:id="rId13"/>
      <w:footerReference w:type="first" r:id="rId14"/>
      <w:pgSz w:w="12240" w:h="15840"/>
      <w:pgMar w:top="1980" w:right="900" w:bottom="2250" w:left="900" w:header="720" w:footer="4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26" w:rsidRDefault="001F6626" w:rsidP="008B132F">
      <w:pPr>
        <w:spacing w:after="0" w:line="240" w:lineRule="auto"/>
      </w:pPr>
      <w:r>
        <w:separator/>
      </w:r>
    </w:p>
  </w:endnote>
  <w:endnote w:type="continuationSeparator" w:id="0">
    <w:p w:rsidR="001F6626" w:rsidRDefault="001F6626" w:rsidP="008B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26" w:rsidRDefault="001F66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26" w:rsidRPr="00A32803" w:rsidRDefault="001F6626" w:rsidP="00FF08B4">
    <w:pPr>
      <w:pStyle w:val="Footer"/>
      <w:tabs>
        <w:tab w:val="left" w:pos="630"/>
      </w:tabs>
      <w:rPr>
        <w:rFonts w:ascii="Arial" w:hAnsi="Arial" w:cs="Arial"/>
        <w:noProof/>
        <w:color w:val="0070C0"/>
        <w:sz w:val="16"/>
        <w:szCs w:val="16"/>
        <w:lang w:val="bs-Latn-BA" w:eastAsia="bs-Latn-BA"/>
      </w:rPr>
    </w:pPr>
    <w:r w:rsidRPr="00A32803">
      <w:rPr>
        <w:rFonts w:ascii="Arial" w:hAnsi="Arial" w:cs="Arial"/>
        <w:noProof/>
        <w:color w:val="0070C0"/>
        <w:sz w:val="16"/>
        <w:szCs w:val="16"/>
        <w:lang w:val="bs-Latn-BA" w:eastAsia="bs-Latn-BA"/>
      </w:rPr>
      <w:t xml:space="preserve">Association for </w:t>
    </w:r>
    <w:r>
      <w:rPr>
        <w:rFonts w:ascii="Arial" w:hAnsi="Arial" w:cs="Arial"/>
        <w:noProof/>
        <w:color w:val="0070C0"/>
        <w:sz w:val="16"/>
        <w:szCs w:val="16"/>
        <w:lang w:val="bs-Latn-BA" w:eastAsia="bs-Latn-BA"/>
      </w:rPr>
      <w:t xml:space="preserve">the </w:t>
    </w:r>
    <w:r w:rsidRPr="00A32803">
      <w:rPr>
        <w:rFonts w:ascii="Arial" w:hAnsi="Arial" w:cs="Arial"/>
        <w:noProof/>
        <w:color w:val="0070C0"/>
        <w:sz w:val="16"/>
        <w:szCs w:val="16"/>
        <w:lang w:val="bs-Latn-BA" w:eastAsia="bs-Latn-BA"/>
      </w:rPr>
      <w:t xml:space="preserve">Fight against Corrruption „Transparency International“ in Bosnia and Herzegovina </w:t>
    </w:r>
    <w:r w:rsidRPr="00A32803">
      <w:rPr>
        <w:rFonts w:ascii="Arial" w:hAnsi="Arial" w:cs="Arial"/>
        <w:noProof/>
        <w:color w:val="0070C0"/>
        <w:sz w:val="16"/>
        <w:szCs w:val="16"/>
        <w:lang w:val="bs-Latn-BA" w:eastAsia="bs-Latn-BA"/>
      </w:rPr>
      <w:br/>
      <w:t>No. UP08-7-1-616/11, Ministry of Justice BiH, Sarajevo</w:t>
    </w:r>
  </w:p>
  <w:p w:rsidR="001F6626" w:rsidRPr="00A32803" w:rsidRDefault="001F6626" w:rsidP="00FF08B4">
    <w:pPr>
      <w:pStyle w:val="Footer"/>
      <w:tabs>
        <w:tab w:val="left" w:pos="630"/>
      </w:tabs>
      <w:rPr>
        <w:rFonts w:ascii="Arial" w:hAnsi="Arial" w:cs="Arial"/>
        <w:noProof/>
        <w:color w:val="0070C0"/>
        <w:sz w:val="16"/>
        <w:szCs w:val="16"/>
        <w:lang w:val="bs-Latn-BA" w:eastAsia="bs-Latn-BA"/>
      </w:rPr>
    </w:pPr>
    <w:r w:rsidRPr="00A32803">
      <w:rPr>
        <w:rFonts w:ascii="Arial" w:hAnsi="Arial" w:cs="Arial"/>
        <w:noProof/>
        <w:color w:val="0070C0"/>
        <w:sz w:val="16"/>
        <w:szCs w:val="16"/>
        <w:lang w:val="bs-Latn-BA" w:eastAsia="bs-Latn-BA"/>
      </w:rPr>
      <w:br/>
      <w:t>The seat of the Association is: Banja Luka, 2 Gajeva</w:t>
    </w:r>
    <w:r w:rsidRPr="00A32803">
      <w:rPr>
        <w:rFonts w:ascii="Arial" w:hAnsi="Arial" w:cs="Arial"/>
        <w:noProof/>
        <w:color w:val="0070C0"/>
        <w:sz w:val="16"/>
        <w:szCs w:val="16"/>
        <w:lang w:val="bs-Latn-BA" w:eastAsia="bs-Latn-BA"/>
      </w:rPr>
      <w:br/>
      <w:t>The seat of the Association´s regional office is: Sarajevo, 9/1 Mula Mustafe Baseskije</w:t>
    </w:r>
    <w:r w:rsidRPr="00A32803">
      <w:rPr>
        <w:rFonts w:ascii="Arial" w:hAnsi="Arial" w:cs="Arial"/>
        <w:noProof/>
        <w:color w:val="0070C0"/>
        <w:sz w:val="16"/>
        <w:szCs w:val="16"/>
        <w:lang w:val="bs-Latn-BA" w:eastAsia="bs-Latn-BA"/>
      </w:rPr>
      <w:br/>
      <w:t xml:space="preserve">Email: </w:t>
    </w:r>
    <w:hyperlink r:id="rId1" w:history="1">
      <w:r w:rsidRPr="00A32803">
        <w:rPr>
          <w:rStyle w:val="Hyperlink"/>
          <w:rFonts w:ascii="Arial" w:hAnsi="Arial" w:cs="Arial"/>
          <w:noProof/>
          <w:color w:val="0070C0"/>
          <w:sz w:val="16"/>
          <w:szCs w:val="16"/>
          <w:lang w:val="bs-Latn-BA" w:eastAsia="bs-Latn-BA"/>
        </w:rPr>
        <w:t>info</w:t>
      </w:r>
      <w:r w:rsidRPr="00A32803">
        <w:rPr>
          <w:rStyle w:val="Hyperlink"/>
          <w:rFonts w:ascii="Arial" w:hAnsi="Arial" w:cs="Arial"/>
          <w:color w:val="0070C0"/>
          <w:sz w:val="16"/>
          <w:szCs w:val="16"/>
        </w:rPr>
        <w:t>@ti-bih.org</w:t>
      </w:r>
    </w:hyperlink>
    <w:r w:rsidRPr="00A32803">
      <w:rPr>
        <w:rFonts w:ascii="Arial" w:hAnsi="Arial" w:cs="Arial"/>
        <w:color w:val="0070C0"/>
        <w:sz w:val="16"/>
        <w:szCs w:val="16"/>
      </w:rPr>
      <w:br/>
      <w:t xml:space="preserve">Web: </w:t>
    </w:r>
    <w:hyperlink r:id="rId2" w:history="1">
      <w:r w:rsidRPr="00A32803">
        <w:rPr>
          <w:rStyle w:val="Hyperlink"/>
          <w:rFonts w:ascii="Arial" w:hAnsi="Arial" w:cs="Arial"/>
          <w:color w:val="0070C0"/>
          <w:sz w:val="16"/>
          <w:szCs w:val="16"/>
        </w:rPr>
        <w:t>www.ti-bih.org</w:t>
      </w:r>
    </w:hyperlink>
    <w:r w:rsidRPr="00A32803">
      <w:rPr>
        <w:rFonts w:ascii="Arial" w:hAnsi="Arial" w:cs="Arial"/>
        <w:color w:val="0070C0"/>
        <w:sz w:val="16"/>
        <w:szCs w:val="16"/>
      </w:rPr>
      <w:t xml:space="preserve"> </w:t>
    </w:r>
  </w:p>
  <w:p w:rsidR="001F6626" w:rsidRPr="00A32803" w:rsidRDefault="001F6626" w:rsidP="00FF08B4">
    <w:pPr>
      <w:pStyle w:val="Footer"/>
      <w:tabs>
        <w:tab w:val="left" w:pos="630"/>
      </w:tabs>
      <w:rPr>
        <w:noProof/>
        <w:color w:val="0070C0"/>
        <w:lang w:val="bs-Latn-BA" w:eastAsia="bs-Latn-BA"/>
      </w:rPr>
    </w:pPr>
  </w:p>
  <w:p w:rsidR="001F6626" w:rsidRDefault="001F6626" w:rsidP="00FF08B4">
    <w:pPr>
      <w:pStyle w:val="Footer"/>
      <w:tabs>
        <w:tab w:val="left" w:pos="630"/>
      </w:tabs>
    </w:pPr>
    <w:r>
      <w:rPr>
        <w:noProof/>
        <w:lang w:val="bs-Latn-BA" w:eastAsia="bs-Latn-BA"/>
      </w:rPr>
      <w:br/>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26" w:rsidRDefault="001F66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26" w:rsidRDefault="001F6626" w:rsidP="008B132F">
      <w:pPr>
        <w:spacing w:after="0" w:line="240" w:lineRule="auto"/>
      </w:pPr>
      <w:r>
        <w:separator/>
      </w:r>
    </w:p>
  </w:footnote>
  <w:footnote w:type="continuationSeparator" w:id="0">
    <w:p w:rsidR="001F6626" w:rsidRDefault="001F6626" w:rsidP="008B13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26" w:rsidRDefault="001F66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26" w:rsidRDefault="001F6626">
    <w:pPr>
      <w:pStyle w:val="Header"/>
    </w:pPr>
    <w:r>
      <w:rPr>
        <w:noProof/>
        <w:lang w:val="en-US"/>
      </w:rPr>
      <w:drawing>
        <wp:inline distT="0" distB="0" distL="0" distR="0">
          <wp:extent cx="1856222" cy="461638"/>
          <wp:effectExtent l="19050" t="0" r="0" b="0"/>
          <wp:docPr id="1" name="Picture 0"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H Stationery Maj 2015 01-06.jpg"/>
                  <pic:cNvPicPr/>
                </pic:nvPicPr>
                <pic:blipFill>
                  <a:blip r:embed="rId1"/>
                  <a:stretch>
                    <a:fillRect/>
                  </a:stretch>
                </pic:blipFill>
                <pic:spPr>
                  <a:xfrm>
                    <a:off x="0" y="0"/>
                    <a:ext cx="1856222" cy="46163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26" w:rsidRDefault="001F66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2F06"/>
    <w:multiLevelType w:val="hybridMultilevel"/>
    <w:tmpl w:val="5136021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431011A4"/>
    <w:multiLevelType w:val="hybridMultilevel"/>
    <w:tmpl w:val="0220D71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
    <w:nsid w:val="4DEB66AD"/>
    <w:multiLevelType w:val="hybridMultilevel"/>
    <w:tmpl w:val="95903562"/>
    <w:lvl w:ilvl="0" w:tplc="141A0001">
      <w:start w:val="1"/>
      <w:numFmt w:val="bullet"/>
      <w:lvlText w:val=""/>
      <w:lvlJc w:val="left"/>
      <w:pPr>
        <w:ind w:left="2160" w:hanging="360"/>
      </w:pPr>
      <w:rPr>
        <w:rFonts w:ascii="Symbol" w:hAnsi="Symbol" w:hint="default"/>
      </w:rPr>
    </w:lvl>
    <w:lvl w:ilvl="1" w:tplc="141A0003">
      <w:start w:val="1"/>
      <w:numFmt w:val="bullet"/>
      <w:lvlText w:val="o"/>
      <w:lvlJc w:val="left"/>
      <w:pPr>
        <w:ind w:left="2880" w:hanging="360"/>
      </w:pPr>
      <w:rPr>
        <w:rFonts w:ascii="Courier New" w:hAnsi="Courier New" w:cs="Courier New" w:hint="default"/>
      </w:rPr>
    </w:lvl>
    <w:lvl w:ilvl="2" w:tplc="141A0005">
      <w:start w:val="1"/>
      <w:numFmt w:val="bullet"/>
      <w:lvlText w:val=""/>
      <w:lvlJc w:val="left"/>
      <w:pPr>
        <w:ind w:left="3600" w:hanging="360"/>
      </w:pPr>
      <w:rPr>
        <w:rFonts w:ascii="Wingdings" w:hAnsi="Wingdings" w:hint="default"/>
      </w:rPr>
    </w:lvl>
    <w:lvl w:ilvl="3" w:tplc="141A0001">
      <w:start w:val="1"/>
      <w:numFmt w:val="bullet"/>
      <w:lvlText w:val=""/>
      <w:lvlJc w:val="left"/>
      <w:pPr>
        <w:ind w:left="4320" w:hanging="360"/>
      </w:pPr>
      <w:rPr>
        <w:rFonts w:ascii="Symbol" w:hAnsi="Symbol" w:hint="default"/>
      </w:rPr>
    </w:lvl>
    <w:lvl w:ilvl="4" w:tplc="141A0003">
      <w:start w:val="1"/>
      <w:numFmt w:val="bullet"/>
      <w:lvlText w:val="o"/>
      <w:lvlJc w:val="left"/>
      <w:pPr>
        <w:ind w:left="5040" w:hanging="360"/>
      </w:pPr>
      <w:rPr>
        <w:rFonts w:ascii="Courier New" w:hAnsi="Courier New" w:cs="Courier New" w:hint="default"/>
      </w:rPr>
    </w:lvl>
    <w:lvl w:ilvl="5" w:tplc="141A0005">
      <w:start w:val="1"/>
      <w:numFmt w:val="bullet"/>
      <w:lvlText w:val=""/>
      <w:lvlJc w:val="left"/>
      <w:pPr>
        <w:ind w:left="5760" w:hanging="360"/>
      </w:pPr>
      <w:rPr>
        <w:rFonts w:ascii="Wingdings" w:hAnsi="Wingdings" w:hint="default"/>
      </w:rPr>
    </w:lvl>
    <w:lvl w:ilvl="6" w:tplc="141A0001">
      <w:start w:val="1"/>
      <w:numFmt w:val="bullet"/>
      <w:lvlText w:val=""/>
      <w:lvlJc w:val="left"/>
      <w:pPr>
        <w:ind w:left="6480" w:hanging="360"/>
      </w:pPr>
      <w:rPr>
        <w:rFonts w:ascii="Symbol" w:hAnsi="Symbol" w:hint="default"/>
      </w:rPr>
    </w:lvl>
    <w:lvl w:ilvl="7" w:tplc="141A0003">
      <w:start w:val="1"/>
      <w:numFmt w:val="bullet"/>
      <w:lvlText w:val="o"/>
      <w:lvlJc w:val="left"/>
      <w:pPr>
        <w:ind w:left="7200" w:hanging="360"/>
      </w:pPr>
      <w:rPr>
        <w:rFonts w:ascii="Courier New" w:hAnsi="Courier New" w:cs="Courier New" w:hint="default"/>
      </w:rPr>
    </w:lvl>
    <w:lvl w:ilvl="8" w:tplc="141A0005">
      <w:start w:val="1"/>
      <w:numFmt w:val="bullet"/>
      <w:lvlText w:val=""/>
      <w:lvlJc w:val="left"/>
      <w:pPr>
        <w:ind w:left="7920" w:hanging="360"/>
      </w:pPr>
      <w:rPr>
        <w:rFonts w:ascii="Wingdings" w:hAnsi="Wingdings" w:hint="default"/>
      </w:rPr>
    </w:lvl>
  </w:abstractNum>
  <w:abstractNum w:abstractNumId="3">
    <w:nsid w:val="50185D69"/>
    <w:multiLevelType w:val="hybridMultilevel"/>
    <w:tmpl w:val="08FE7020"/>
    <w:lvl w:ilvl="0" w:tplc="C96CAEC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FA3A3E"/>
    <w:multiLevelType w:val="hybridMultilevel"/>
    <w:tmpl w:val="3D82F2EA"/>
    <w:lvl w:ilvl="0" w:tplc="141A0001">
      <w:start w:val="1"/>
      <w:numFmt w:val="bullet"/>
      <w:lvlText w:val=""/>
      <w:lvlJc w:val="left"/>
      <w:pPr>
        <w:ind w:left="754" w:hanging="360"/>
      </w:pPr>
      <w:rPr>
        <w:rFonts w:ascii="Symbol" w:hAnsi="Symbol" w:hint="default"/>
      </w:rPr>
    </w:lvl>
    <w:lvl w:ilvl="1" w:tplc="141A0003" w:tentative="1">
      <w:start w:val="1"/>
      <w:numFmt w:val="bullet"/>
      <w:lvlText w:val="o"/>
      <w:lvlJc w:val="left"/>
      <w:pPr>
        <w:ind w:left="1474" w:hanging="360"/>
      </w:pPr>
      <w:rPr>
        <w:rFonts w:ascii="Courier New" w:hAnsi="Courier New" w:cs="Courier New" w:hint="default"/>
      </w:rPr>
    </w:lvl>
    <w:lvl w:ilvl="2" w:tplc="141A0005" w:tentative="1">
      <w:start w:val="1"/>
      <w:numFmt w:val="bullet"/>
      <w:lvlText w:val=""/>
      <w:lvlJc w:val="left"/>
      <w:pPr>
        <w:ind w:left="2194" w:hanging="360"/>
      </w:pPr>
      <w:rPr>
        <w:rFonts w:ascii="Wingdings" w:hAnsi="Wingdings" w:hint="default"/>
      </w:rPr>
    </w:lvl>
    <w:lvl w:ilvl="3" w:tplc="141A0001" w:tentative="1">
      <w:start w:val="1"/>
      <w:numFmt w:val="bullet"/>
      <w:lvlText w:val=""/>
      <w:lvlJc w:val="left"/>
      <w:pPr>
        <w:ind w:left="2914" w:hanging="360"/>
      </w:pPr>
      <w:rPr>
        <w:rFonts w:ascii="Symbol" w:hAnsi="Symbol" w:hint="default"/>
      </w:rPr>
    </w:lvl>
    <w:lvl w:ilvl="4" w:tplc="141A0003" w:tentative="1">
      <w:start w:val="1"/>
      <w:numFmt w:val="bullet"/>
      <w:lvlText w:val="o"/>
      <w:lvlJc w:val="left"/>
      <w:pPr>
        <w:ind w:left="3634" w:hanging="360"/>
      </w:pPr>
      <w:rPr>
        <w:rFonts w:ascii="Courier New" w:hAnsi="Courier New" w:cs="Courier New" w:hint="default"/>
      </w:rPr>
    </w:lvl>
    <w:lvl w:ilvl="5" w:tplc="141A0005" w:tentative="1">
      <w:start w:val="1"/>
      <w:numFmt w:val="bullet"/>
      <w:lvlText w:val=""/>
      <w:lvlJc w:val="left"/>
      <w:pPr>
        <w:ind w:left="4354" w:hanging="360"/>
      </w:pPr>
      <w:rPr>
        <w:rFonts w:ascii="Wingdings" w:hAnsi="Wingdings" w:hint="default"/>
      </w:rPr>
    </w:lvl>
    <w:lvl w:ilvl="6" w:tplc="141A0001" w:tentative="1">
      <w:start w:val="1"/>
      <w:numFmt w:val="bullet"/>
      <w:lvlText w:val=""/>
      <w:lvlJc w:val="left"/>
      <w:pPr>
        <w:ind w:left="5074" w:hanging="360"/>
      </w:pPr>
      <w:rPr>
        <w:rFonts w:ascii="Symbol" w:hAnsi="Symbol" w:hint="default"/>
      </w:rPr>
    </w:lvl>
    <w:lvl w:ilvl="7" w:tplc="141A0003" w:tentative="1">
      <w:start w:val="1"/>
      <w:numFmt w:val="bullet"/>
      <w:lvlText w:val="o"/>
      <w:lvlJc w:val="left"/>
      <w:pPr>
        <w:ind w:left="5794" w:hanging="360"/>
      </w:pPr>
      <w:rPr>
        <w:rFonts w:ascii="Courier New" w:hAnsi="Courier New" w:cs="Courier New" w:hint="default"/>
      </w:rPr>
    </w:lvl>
    <w:lvl w:ilvl="8" w:tplc="141A0005" w:tentative="1">
      <w:start w:val="1"/>
      <w:numFmt w:val="bullet"/>
      <w:lvlText w:val=""/>
      <w:lvlJc w:val="left"/>
      <w:pPr>
        <w:ind w:left="6514" w:hanging="360"/>
      </w:pPr>
      <w:rPr>
        <w:rFonts w:ascii="Wingdings" w:hAnsi="Wingdings" w:hint="default"/>
      </w:rPr>
    </w:lvl>
  </w:abstractNum>
  <w:abstractNum w:abstractNumId="5">
    <w:nsid w:val="7F8611DC"/>
    <w:multiLevelType w:val="hybridMultilevel"/>
    <w:tmpl w:val="B10A4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2F"/>
    <w:rsid w:val="00011D02"/>
    <w:rsid w:val="000205CC"/>
    <w:rsid w:val="00026652"/>
    <w:rsid w:val="0003013F"/>
    <w:rsid w:val="000702CD"/>
    <w:rsid w:val="00070D9F"/>
    <w:rsid w:val="00144A8E"/>
    <w:rsid w:val="0017058A"/>
    <w:rsid w:val="00187CAD"/>
    <w:rsid w:val="001B74B1"/>
    <w:rsid w:val="001F6626"/>
    <w:rsid w:val="003030BC"/>
    <w:rsid w:val="00325F30"/>
    <w:rsid w:val="00354647"/>
    <w:rsid w:val="00364DB5"/>
    <w:rsid w:val="003662C4"/>
    <w:rsid w:val="0039094E"/>
    <w:rsid w:val="00397874"/>
    <w:rsid w:val="003B01C2"/>
    <w:rsid w:val="003B2605"/>
    <w:rsid w:val="003C4CC5"/>
    <w:rsid w:val="003F4B3B"/>
    <w:rsid w:val="0042633D"/>
    <w:rsid w:val="004455C6"/>
    <w:rsid w:val="00480148"/>
    <w:rsid w:val="004B0791"/>
    <w:rsid w:val="004C7D95"/>
    <w:rsid w:val="004F2295"/>
    <w:rsid w:val="0050148E"/>
    <w:rsid w:val="00512F45"/>
    <w:rsid w:val="00541436"/>
    <w:rsid w:val="00550677"/>
    <w:rsid w:val="005953E0"/>
    <w:rsid w:val="005D25DC"/>
    <w:rsid w:val="005E299B"/>
    <w:rsid w:val="00646DF9"/>
    <w:rsid w:val="006D2743"/>
    <w:rsid w:val="006F1765"/>
    <w:rsid w:val="007146E8"/>
    <w:rsid w:val="007566E7"/>
    <w:rsid w:val="007821D8"/>
    <w:rsid w:val="007B58E9"/>
    <w:rsid w:val="007D7808"/>
    <w:rsid w:val="007E1730"/>
    <w:rsid w:val="007E6437"/>
    <w:rsid w:val="007F27E0"/>
    <w:rsid w:val="008015B4"/>
    <w:rsid w:val="0080430E"/>
    <w:rsid w:val="00814CD5"/>
    <w:rsid w:val="00837A72"/>
    <w:rsid w:val="00840EA5"/>
    <w:rsid w:val="00841159"/>
    <w:rsid w:val="00843A12"/>
    <w:rsid w:val="008538E0"/>
    <w:rsid w:val="00861DB9"/>
    <w:rsid w:val="00892F1B"/>
    <w:rsid w:val="00894CEF"/>
    <w:rsid w:val="008B132F"/>
    <w:rsid w:val="008C4EB5"/>
    <w:rsid w:val="008E0EA8"/>
    <w:rsid w:val="009A0868"/>
    <w:rsid w:val="009A54A7"/>
    <w:rsid w:val="00A32803"/>
    <w:rsid w:val="00AB0093"/>
    <w:rsid w:val="00AB552E"/>
    <w:rsid w:val="00AC7EBA"/>
    <w:rsid w:val="00AE588C"/>
    <w:rsid w:val="00AE7294"/>
    <w:rsid w:val="00B04727"/>
    <w:rsid w:val="00B23B5F"/>
    <w:rsid w:val="00B6654A"/>
    <w:rsid w:val="00B925AE"/>
    <w:rsid w:val="00B946FB"/>
    <w:rsid w:val="00BC3B7C"/>
    <w:rsid w:val="00BD0989"/>
    <w:rsid w:val="00BD0D5D"/>
    <w:rsid w:val="00BD5A1A"/>
    <w:rsid w:val="00C37B5F"/>
    <w:rsid w:val="00C4643A"/>
    <w:rsid w:val="00C725C1"/>
    <w:rsid w:val="00C8720A"/>
    <w:rsid w:val="00CA4993"/>
    <w:rsid w:val="00CB5F12"/>
    <w:rsid w:val="00D04F1B"/>
    <w:rsid w:val="00D9077B"/>
    <w:rsid w:val="00DC0C0A"/>
    <w:rsid w:val="00DE6FB3"/>
    <w:rsid w:val="00E050DC"/>
    <w:rsid w:val="00E63305"/>
    <w:rsid w:val="00E858B5"/>
    <w:rsid w:val="00EB4FBD"/>
    <w:rsid w:val="00ED774A"/>
    <w:rsid w:val="00EF2BD2"/>
    <w:rsid w:val="00F7400F"/>
    <w:rsid w:val="00F84357"/>
    <w:rsid w:val="00F94BDB"/>
    <w:rsid w:val="00FF08B4"/>
    <w:rsid w:val="00FF1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2E"/>
    <w:rPr>
      <w:rFonts w:ascii="Calibri" w:eastAsia="Calibri" w:hAnsi="Calibri" w:cs="Times New Roman"/>
      <w:lang w:val="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2F"/>
  </w:style>
  <w:style w:type="paragraph" w:styleId="Footer">
    <w:name w:val="footer"/>
    <w:basedOn w:val="Normal"/>
    <w:link w:val="FooterChar"/>
    <w:uiPriority w:val="99"/>
    <w:unhideWhenUsed/>
    <w:rsid w:val="008B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2F"/>
  </w:style>
  <w:style w:type="paragraph" w:styleId="BalloonText">
    <w:name w:val="Balloon Text"/>
    <w:basedOn w:val="Normal"/>
    <w:link w:val="BalloonTextChar"/>
    <w:uiPriority w:val="99"/>
    <w:semiHidden/>
    <w:unhideWhenUsed/>
    <w:rsid w:val="008B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2F"/>
    <w:rPr>
      <w:rFonts w:ascii="Tahoma" w:hAnsi="Tahoma" w:cs="Tahoma"/>
      <w:sz w:val="16"/>
      <w:szCs w:val="16"/>
    </w:rPr>
  </w:style>
  <w:style w:type="paragraph" w:styleId="NoSpacing">
    <w:name w:val="No Spacing"/>
    <w:uiPriority w:val="1"/>
    <w:qFormat/>
    <w:rsid w:val="008B132F"/>
    <w:pPr>
      <w:spacing w:after="0" w:line="240" w:lineRule="auto"/>
    </w:pPr>
  </w:style>
  <w:style w:type="character" w:styleId="Hyperlink">
    <w:name w:val="Hyperlink"/>
    <w:basedOn w:val="DefaultParagraphFont"/>
    <w:uiPriority w:val="99"/>
    <w:unhideWhenUsed/>
    <w:rsid w:val="00A328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2E"/>
    <w:rPr>
      <w:rFonts w:ascii="Calibri" w:eastAsia="Calibri" w:hAnsi="Calibri" w:cs="Times New Roman"/>
      <w:lang w:val="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2F"/>
  </w:style>
  <w:style w:type="paragraph" w:styleId="Footer">
    <w:name w:val="footer"/>
    <w:basedOn w:val="Normal"/>
    <w:link w:val="FooterChar"/>
    <w:uiPriority w:val="99"/>
    <w:unhideWhenUsed/>
    <w:rsid w:val="008B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2F"/>
  </w:style>
  <w:style w:type="paragraph" w:styleId="BalloonText">
    <w:name w:val="Balloon Text"/>
    <w:basedOn w:val="Normal"/>
    <w:link w:val="BalloonTextChar"/>
    <w:uiPriority w:val="99"/>
    <w:semiHidden/>
    <w:unhideWhenUsed/>
    <w:rsid w:val="008B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2F"/>
    <w:rPr>
      <w:rFonts w:ascii="Tahoma" w:hAnsi="Tahoma" w:cs="Tahoma"/>
      <w:sz w:val="16"/>
      <w:szCs w:val="16"/>
    </w:rPr>
  </w:style>
  <w:style w:type="paragraph" w:styleId="NoSpacing">
    <w:name w:val="No Spacing"/>
    <w:uiPriority w:val="1"/>
    <w:qFormat/>
    <w:rsid w:val="008B132F"/>
    <w:pPr>
      <w:spacing w:after="0" w:line="240" w:lineRule="auto"/>
    </w:pPr>
  </w:style>
  <w:style w:type="character" w:styleId="Hyperlink">
    <w:name w:val="Hyperlink"/>
    <w:basedOn w:val="DefaultParagraphFont"/>
    <w:uiPriority w:val="99"/>
    <w:unhideWhenUsed/>
    <w:rsid w:val="00A32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ti-bih.org" TargetMode="External"/><Relationship Id="rId2" Type="http://schemas.openxmlformats.org/officeDocument/2006/relationships/hyperlink" Target="http://www.ti-bi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8F24-B322-5844-B34D-DB25C6C9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2126</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SALBO</dc:creator>
  <cp:lastModifiedBy>Danijela Kolundzija</cp:lastModifiedBy>
  <cp:revision>2</cp:revision>
  <cp:lastPrinted>2017-05-31T10:13:00Z</cp:lastPrinted>
  <dcterms:created xsi:type="dcterms:W3CDTF">2017-12-15T09:06:00Z</dcterms:created>
  <dcterms:modified xsi:type="dcterms:W3CDTF">2017-12-15T09:06:00Z</dcterms:modified>
</cp:coreProperties>
</file>