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D" w:rsidRPr="00BB7B0F" w:rsidRDefault="0047077D" w:rsidP="0047077D">
      <w:pPr>
        <w:spacing w:after="0"/>
        <w:rPr>
          <w:rFonts w:cs="Arial"/>
          <w:b/>
          <w:sz w:val="16"/>
          <w:szCs w:val="16"/>
          <w:lang w:val="bs-Latn-BA"/>
        </w:rPr>
      </w:pPr>
    </w:p>
    <w:p w:rsidR="007D479E" w:rsidRPr="00BB7B0F" w:rsidRDefault="007D479E" w:rsidP="0047077D">
      <w:pPr>
        <w:spacing w:after="0"/>
        <w:rPr>
          <w:rFonts w:cs="Arial"/>
          <w:b/>
          <w:sz w:val="16"/>
          <w:szCs w:val="16"/>
          <w:lang w:val="bs-Latn-BA"/>
        </w:rPr>
      </w:pPr>
    </w:p>
    <w:p w:rsidR="00291306" w:rsidRPr="00BB7B0F" w:rsidRDefault="007F4D99" w:rsidP="00291306">
      <w:pPr>
        <w:spacing w:after="0"/>
        <w:jc w:val="both"/>
        <w:rPr>
          <w:rFonts w:ascii="Arial" w:hAnsi="Arial" w:cs="Arial"/>
          <w:b/>
          <w:sz w:val="20"/>
          <w:szCs w:val="20"/>
          <w:lang w:val="de-DE"/>
        </w:rPr>
      </w:pPr>
      <w:r w:rsidRPr="00BB7B0F">
        <w:rPr>
          <w:rFonts w:ascii="Arial" w:hAnsi="Arial" w:cs="Arial"/>
          <w:b/>
          <w:sz w:val="20"/>
          <w:szCs w:val="20"/>
          <w:lang w:val="de-DE"/>
        </w:rPr>
        <w:t>Date</w:t>
      </w:r>
      <w:r w:rsidR="00291306" w:rsidRPr="00BB7B0F">
        <w:rPr>
          <w:rFonts w:ascii="Arial" w:hAnsi="Arial" w:cs="Arial"/>
          <w:b/>
          <w:sz w:val="20"/>
          <w:szCs w:val="20"/>
          <w:lang w:val="de-DE"/>
        </w:rPr>
        <w:t>: 20.06.2016.</w:t>
      </w:r>
    </w:p>
    <w:p w:rsidR="00291306" w:rsidRPr="00BB7B0F" w:rsidRDefault="007F4D99" w:rsidP="00291306">
      <w:pPr>
        <w:spacing w:after="0"/>
        <w:jc w:val="both"/>
        <w:rPr>
          <w:rFonts w:ascii="Arial" w:hAnsi="Arial" w:cs="Arial"/>
          <w:b/>
          <w:i/>
          <w:sz w:val="20"/>
          <w:szCs w:val="20"/>
          <w:lang w:val="de-DE"/>
        </w:rPr>
      </w:pPr>
      <w:r w:rsidRPr="00BB7B0F">
        <w:rPr>
          <w:rFonts w:ascii="Arial" w:hAnsi="Arial" w:cs="Arial"/>
          <w:b/>
          <w:sz w:val="20"/>
          <w:szCs w:val="20"/>
          <w:lang w:val="de-DE"/>
        </w:rPr>
        <w:t>Number</w:t>
      </w:r>
      <w:r w:rsidR="00291306" w:rsidRPr="00BB7B0F">
        <w:rPr>
          <w:rFonts w:ascii="Arial" w:hAnsi="Arial" w:cs="Arial"/>
          <w:b/>
          <w:sz w:val="20"/>
          <w:szCs w:val="20"/>
          <w:lang w:val="de-DE"/>
        </w:rPr>
        <w:t>: 06-01/534</w:t>
      </w:r>
    </w:p>
    <w:p w:rsidR="00291306" w:rsidRPr="00BB7B0F" w:rsidRDefault="007F4D99" w:rsidP="00291306">
      <w:pPr>
        <w:jc w:val="right"/>
        <w:rPr>
          <w:rFonts w:ascii="Arial" w:hAnsi="Arial" w:cs="Arial"/>
          <w:b/>
          <w:i/>
          <w:sz w:val="20"/>
          <w:szCs w:val="20"/>
          <w:u w:val="single"/>
          <w:lang w:val="de-DE"/>
        </w:rPr>
      </w:pPr>
      <w:r w:rsidRPr="00BB7B0F">
        <w:rPr>
          <w:rFonts w:ascii="Arial" w:hAnsi="Arial" w:cs="Arial"/>
          <w:b/>
          <w:i/>
          <w:sz w:val="20"/>
          <w:szCs w:val="20"/>
          <w:u w:val="single"/>
          <w:lang w:val="de-DE"/>
        </w:rPr>
        <w:t>To all media – delivery of</w:t>
      </w:r>
    </w:p>
    <w:p w:rsidR="00291306" w:rsidRPr="00BB7B0F" w:rsidRDefault="00291306" w:rsidP="00291306">
      <w:pPr>
        <w:spacing w:before="240" w:line="240" w:lineRule="auto"/>
        <w:jc w:val="center"/>
        <w:rPr>
          <w:rFonts w:ascii="Arial" w:eastAsia="Times New Roman" w:hAnsi="Arial"/>
          <w:b/>
          <w:spacing w:val="-5"/>
          <w:sz w:val="24"/>
          <w:szCs w:val="24"/>
          <w:lang w:val="de-DE"/>
        </w:rPr>
      </w:pPr>
    </w:p>
    <w:p w:rsidR="00291306" w:rsidRPr="00BB7B0F" w:rsidRDefault="00291306" w:rsidP="00291306">
      <w:pPr>
        <w:spacing w:after="0" w:line="240" w:lineRule="auto"/>
        <w:jc w:val="both"/>
        <w:rPr>
          <w:rFonts w:ascii="Arial" w:eastAsia="Times New Roman" w:hAnsi="Arial" w:cs="Arial"/>
          <w:spacing w:val="-5"/>
          <w:sz w:val="20"/>
          <w:szCs w:val="20"/>
          <w:lang w:val="bs-Latn-BA"/>
        </w:rPr>
      </w:pPr>
    </w:p>
    <w:p w:rsidR="00291306" w:rsidRPr="00BB7B0F" w:rsidRDefault="00291306" w:rsidP="00291306">
      <w:pPr>
        <w:spacing w:after="0" w:line="240" w:lineRule="auto"/>
        <w:jc w:val="center"/>
        <w:rPr>
          <w:rFonts w:ascii="Arial" w:eastAsia="Times New Roman" w:hAnsi="Arial" w:cs="Arial"/>
          <w:b/>
          <w:spacing w:val="-5"/>
          <w:sz w:val="20"/>
          <w:szCs w:val="20"/>
          <w:lang w:val="bs-Latn-BA"/>
        </w:rPr>
      </w:pPr>
      <w:r w:rsidRPr="00BB7B0F">
        <w:rPr>
          <w:rFonts w:ascii="Arial" w:eastAsia="Times New Roman" w:hAnsi="Arial" w:cs="Arial"/>
          <w:b/>
          <w:spacing w:val="-5"/>
          <w:sz w:val="20"/>
          <w:szCs w:val="20"/>
          <w:lang w:val="bs-Latn-BA"/>
        </w:rPr>
        <w:t xml:space="preserve">TI BiH </w:t>
      </w:r>
      <w:r w:rsidR="007F4D99" w:rsidRPr="00BB7B0F">
        <w:rPr>
          <w:rFonts w:ascii="Arial" w:eastAsia="Times New Roman" w:hAnsi="Arial" w:cs="Arial"/>
          <w:b/>
          <w:spacing w:val="-5"/>
          <w:sz w:val="20"/>
          <w:szCs w:val="20"/>
          <w:lang w:val="bs-Latn-BA"/>
        </w:rPr>
        <w:t xml:space="preserve">is organizing a presentation of regional experiences as part of the Open Government Partnership Initiative </w:t>
      </w:r>
    </w:p>
    <w:p w:rsidR="00291306" w:rsidRPr="00BB7B0F" w:rsidRDefault="00291306" w:rsidP="00291306">
      <w:pPr>
        <w:spacing w:after="0" w:line="240" w:lineRule="auto"/>
        <w:jc w:val="both"/>
        <w:rPr>
          <w:rFonts w:ascii="Arial" w:eastAsia="Times New Roman" w:hAnsi="Arial" w:cs="Arial"/>
          <w:spacing w:val="-5"/>
          <w:sz w:val="20"/>
          <w:szCs w:val="20"/>
          <w:lang w:val="bs-Latn-BA"/>
        </w:rPr>
      </w:pPr>
    </w:p>
    <w:p w:rsidR="00291306" w:rsidRPr="00BB7B0F" w:rsidRDefault="00291306" w:rsidP="00291306">
      <w:pPr>
        <w:spacing w:after="0" w:line="240" w:lineRule="auto"/>
        <w:jc w:val="both"/>
        <w:rPr>
          <w:rFonts w:ascii="Arial" w:eastAsia="Times New Roman" w:hAnsi="Arial" w:cs="Arial"/>
          <w:b/>
          <w:spacing w:val="-5"/>
          <w:sz w:val="20"/>
          <w:szCs w:val="20"/>
          <w:lang w:val="bs-Latn-BA"/>
        </w:rPr>
      </w:pPr>
    </w:p>
    <w:p w:rsidR="00291306" w:rsidRPr="00BB7B0F" w:rsidRDefault="007F4D99" w:rsidP="00291306">
      <w:pPr>
        <w:spacing w:after="0" w:line="240" w:lineRule="auto"/>
        <w:jc w:val="both"/>
        <w:rPr>
          <w:rFonts w:ascii="Arial" w:eastAsia="Times New Roman" w:hAnsi="Arial" w:cs="Arial"/>
          <w:spacing w:val="-5"/>
          <w:sz w:val="20"/>
          <w:szCs w:val="20"/>
          <w:lang w:val="bs-Latn-BA"/>
        </w:rPr>
      </w:pPr>
      <w:r w:rsidRPr="00BB7B0F">
        <w:rPr>
          <w:rFonts w:ascii="Arial" w:eastAsia="Times New Roman" w:hAnsi="Arial" w:cs="Arial"/>
          <w:b/>
          <w:spacing w:val="-5"/>
          <w:sz w:val="20"/>
          <w:szCs w:val="20"/>
          <w:lang w:val="bs-Latn-BA"/>
        </w:rPr>
        <w:t>Sarajevo, 20th June</w:t>
      </w:r>
      <w:r w:rsidR="00291306" w:rsidRPr="00BB7B0F">
        <w:rPr>
          <w:rFonts w:ascii="Arial" w:eastAsia="Times New Roman" w:hAnsi="Arial" w:cs="Arial"/>
          <w:b/>
          <w:spacing w:val="-5"/>
          <w:sz w:val="20"/>
          <w:szCs w:val="20"/>
          <w:lang w:val="bs-Latn-BA"/>
        </w:rPr>
        <w:t xml:space="preserve"> 2016</w:t>
      </w:r>
      <w:r w:rsidR="00291306" w:rsidRPr="00BB7B0F">
        <w:rPr>
          <w:rFonts w:ascii="Arial" w:eastAsia="Times New Roman" w:hAnsi="Arial" w:cs="Arial"/>
          <w:spacing w:val="-5"/>
          <w:sz w:val="20"/>
          <w:szCs w:val="20"/>
          <w:lang w:val="bs-Latn-BA"/>
        </w:rPr>
        <w:t xml:space="preserve"> – Transparency International </w:t>
      </w:r>
      <w:r w:rsidRPr="00BB7B0F">
        <w:rPr>
          <w:rFonts w:ascii="Arial" w:eastAsia="Times New Roman" w:hAnsi="Arial" w:cs="Arial"/>
          <w:spacing w:val="-5"/>
          <w:sz w:val="20"/>
          <w:szCs w:val="20"/>
          <w:lang w:val="bs-Latn-BA"/>
        </w:rPr>
        <w:t xml:space="preserve">in Bosnia and Herzegovina (TIBiH), in cooperation with the coalition of NGOs in charge of the </w:t>
      </w:r>
      <w:r w:rsidR="00291306" w:rsidRPr="00BB7B0F">
        <w:rPr>
          <w:rFonts w:ascii="Arial" w:eastAsia="Times New Roman" w:hAnsi="Arial" w:cs="Arial"/>
          <w:b/>
          <w:spacing w:val="-5"/>
          <w:sz w:val="20"/>
          <w:szCs w:val="20"/>
          <w:lang w:val="bs-Latn-BA"/>
        </w:rPr>
        <w:t>Open Government Partnership</w:t>
      </w:r>
      <w:r w:rsidRPr="00BB7B0F">
        <w:rPr>
          <w:rFonts w:ascii="Arial" w:eastAsia="Times New Roman" w:hAnsi="Arial" w:cs="Arial"/>
          <w:b/>
          <w:spacing w:val="-5"/>
          <w:sz w:val="20"/>
          <w:szCs w:val="20"/>
          <w:lang w:val="bs-Latn-BA"/>
        </w:rPr>
        <w:t xml:space="preserve"> Initiative</w:t>
      </w:r>
      <w:r w:rsidRPr="00BB7B0F">
        <w:rPr>
          <w:rFonts w:ascii="Arial" w:eastAsia="Times New Roman" w:hAnsi="Arial" w:cs="Arial"/>
          <w:spacing w:val="-5"/>
          <w:sz w:val="20"/>
          <w:szCs w:val="20"/>
          <w:lang w:val="bs-Latn-BA"/>
        </w:rPr>
        <w:t>, is organizing a conference at which it will present the experiences of the countries in the region that are members of the same initiate, and the results of work of the civil society regarding the definition of the proposal of measures for the first Action Plan BiH that should define new policies of open</w:t>
      </w:r>
      <w:r w:rsidR="00BB7B0F">
        <w:rPr>
          <w:rFonts w:ascii="Arial" w:eastAsia="Times New Roman" w:hAnsi="Arial" w:cs="Arial"/>
          <w:spacing w:val="-5"/>
          <w:sz w:val="20"/>
          <w:szCs w:val="20"/>
          <w:lang w:val="bs-Latn-BA"/>
        </w:rPr>
        <w:t>n</w:t>
      </w:r>
      <w:r w:rsidRPr="00BB7B0F">
        <w:rPr>
          <w:rFonts w:ascii="Arial" w:eastAsia="Times New Roman" w:hAnsi="Arial" w:cs="Arial"/>
          <w:spacing w:val="-5"/>
          <w:sz w:val="20"/>
          <w:szCs w:val="20"/>
          <w:lang w:val="bs-Latn-BA"/>
        </w:rPr>
        <w:t xml:space="preserve">ess and transparency in public institutions. </w:t>
      </w:r>
    </w:p>
    <w:p w:rsidR="00291306" w:rsidRPr="00BB7B0F" w:rsidRDefault="00291306" w:rsidP="00291306">
      <w:pPr>
        <w:spacing w:after="0" w:line="240" w:lineRule="auto"/>
        <w:jc w:val="both"/>
        <w:rPr>
          <w:rFonts w:ascii="Arial" w:eastAsia="Times New Roman" w:hAnsi="Arial" w:cs="Arial"/>
          <w:spacing w:val="-5"/>
          <w:sz w:val="20"/>
          <w:szCs w:val="20"/>
          <w:lang w:val="bs-Latn-BA"/>
        </w:rPr>
      </w:pPr>
    </w:p>
    <w:p w:rsidR="001721D5" w:rsidRPr="00BB7B0F" w:rsidRDefault="007F4D99" w:rsidP="00291306">
      <w:pPr>
        <w:spacing w:after="0" w:line="240" w:lineRule="auto"/>
        <w:jc w:val="both"/>
        <w:rPr>
          <w:rFonts w:ascii="Arial" w:eastAsia="Times New Roman" w:hAnsi="Arial" w:cs="Arial"/>
          <w:spacing w:val="-5"/>
          <w:sz w:val="20"/>
          <w:szCs w:val="20"/>
          <w:lang w:val="bs-Latn-BA"/>
        </w:rPr>
      </w:pPr>
      <w:bookmarkStart w:id="0" w:name="_GoBack"/>
      <w:r w:rsidRPr="00BB7B0F">
        <w:rPr>
          <w:rFonts w:ascii="Arial" w:eastAsia="Times New Roman" w:hAnsi="Arial" w:cs="Arial"/>
          <w:spacing w:val="-5"/>
          <w:sz w:val="20"/>
          <w:szCs w:val="20"/>
          <w:lang w:val="bs-Latn-BA"/>
        </w:rPr>
        <w:t xml:space="preserve">The conference is being organized for the federal </w:t>
      </w:r>
      <w:r w:rsidR="00C11BD3" w:rsidRPr="00BB7B0F">
        <w:rPr>
          <w:rFonts w:ascii="Arial" w:eastAsia="Times New Roman" w:hAnsi="Arial" w:cs="Arial"/>
          <w:spacing w:val="-5"/>
          <w:sz w:val="20"/>
          <w:szCs w:val="20"/>
          <w:lang w:val="bs-Latn-BA"/>
        </w:rPr>
        <w:t xml:space="preserve">government </w:t>
      </w:r>
      <w:r w:rsidRPr="00BB7B0F">
        <w:rPr>
          <w:rFonts w:ascii="Arial" w:eastAsia="Times New Roman" w:hAnsi="Arial" w:cs="Arial"/>
          <w:spacing w:val="-5"/>
          <w:sz w:val="20"/>
          <w:szCs w:val="20"/>
          <w:lang w:val="bs-Latn-BA"/>
        </w:rPr>
        <w:t>level</w:t>
      </w:r>
      <w:r w:rsidR="00C11BD3" w:rsidRPr="00BB7B0F">
        <w:rPr>
          <w:rFonts w:ascii="Arial" w:eastAsia="Times New Roman" w:hAnsi="Arial" w:cs="Arial"/>
          <w:spacing w:val="-5"/>
          <w:sz w:val="20"/>
          <w:szCs w:val="20"/>
          <w:lang w:val="bs-Latn-BA"/>
        </w:rPr>
        <w:t xml:space="preserve"> institutions in order to introduce the principles and standards of the Open Government Partnership Initiative to them. This will also be an opportunity to present the results of the the research related to the readiness assessment of the institutions in the Federation of Bosnia and Herzegovina to open data, i.e. the practice of proactive announcement of information, and the plans for the further cooperation between the civil society organizations and the federal institutions.</w:t>
      </w:r>
      <w:r w:rsidR="00291306" w:rsidRPr="00BB7B0F">
        <w:rPr>
          <w:rFonts w:ascii="Arial" w:eastAsia="Times New Roman" w:hAnsi="Arial" w:cs="Arial"/>
          <w:spacing w:val="-5"/>
          <w:sz w:val="20"/>
          <w:szCs w:val="20"/>
          <w:lang w:val="bs-Latn-BA"/>
        </w:rPr>
        <w:t xml:space="preserve"> </w:t>
      </w:r>
    </w:p>
    <w:p w:rsidR="001721D5" w:rsidRPr="00BB7B0F" w:rsidRDefault="001721D5" w:rsidP="00291306">
      <w:pPr>
        <w:spacing w:after="0" w:line="240" w:lineRule="auto"/>
        <w:jc w:val="both"/>
        <w:rPr>
          <w:rFonts w:ascii="Arial" w:eastAsia="Times New Roman" w:hAnsi="Arial" w:cs="Arial"/>
          <w:spacing w:val="-5"/>
          <w:sz w:val="20"/>
          <w:szCs w:val="20"/>
          <w:lang w:val="bs-Latn-BA"/>
        </w:rPr>
      </w:pPr>
    </w:p>
    <w:p w:rsidR="00291306" w:rsidRPr="00BB7B0F" w:rsidRDefault="00C11BD3" w:rsidP="00291306">
      <w:pPr>
        <w:spacing w:after="0" w:line="240" w:lineRule="auto"/>
        <w:jc w:val="both"/>
        <w:rPr>
          <w:rFonts w:ascii="Arial" w:eastAsia="Times New Roman" w:hAnsi="Arial" w:cs="Arial"/>
          <w:spacing w:val="-5"/>
          <w:sz w:val="20"/>
          <w:szCs w:val="20"/>
          <w:lang w:val="bs-Latn-BA"/>
        </w:rPr>
      </w:pPr>
      <w:r w:rsidRPr="00BB7B0F">
        <w:rPr>
          <w:rFonts w:ascii="Arial" w:eastAsia="Times New Roman" w:hAnsi="Arial" w:cs="Arial"/>
          <w:spacing w:val="-5"/>
          <w:sz w:val="20"/>
          <w:szCs w:val="20"/>
          <w:lang w:val="bs-Latn-BA"/>
        </w:rPr>
        <w:t xml:space="preserve">The Open Government Partnership Initiative and the advantages of the same </w:t>
      </w:r>
      <w:r w:rsidR="00BB7B0F">
        <w:rPr>
          <w:rFonts w:ascii="Arial" w:eastAsia="Times New Roman" w:hAnsi="Arial" w:cs="Arial"/>
          <w:spacing w:val="-5"/>
          <w:sz w:val="20"/>
          <w:szCs w:val="20"/>
          <w:lang w:val="bs-Latn-BA"/>
        </w:rPr>
        <w:t>will be presented on this occa</w:t>
      </w:r>
      <w:r w:rsidRPr="00BB7B0F">
        <w:rPr>
          <w:rFonts w:ascii="Arial" w:eastAsia="Times New Roman" w:hAnsi="Arial" w:cs="Arial"/>
          <w:spacing w:val="-5"/>
          <w:sz w:val="20"/>
          <w:szCs w:val="20"/>
          <w:lang w:val="bs-Latn-BA"/>
        </w:rPr>
        <w:t xml:space="preserve">sion as well, with special emphasis on regional experiences. Special attention will be paid to the ways of improving communication with </w:t>
      </w:r>
      <w:r w:rsidR="00D465BE" w:rsidRPr="00BB7B0F">
        <w:rPr>
          <w:rFonts w:ascii="Arial" w:eastAsia="Times New Roman" w:hAnsi="Arial" w:cs="Arial"/>
          <w:spacing w:val="-5"/>
          <w:sz w:val="20"/>
          <w:szCs w:val="20"/>
          <w:lang w:val="bs-Latn-BA"/>
        </w:rPr>
        <w:t>the citizens aimed at opening th</w:t>
      </w:r>
      <w:r w:rsidR="00BB7B0F">
        <w:rPr>
          <w:rFonts w:ascii="Arial" w:eastAsia="Times New Roman" w:hAnsi="Arial" w:cs="Arial"/>
          <w:spacing w:val="-5"/>
          <w:sz w:val="20"/>
          <w:szCs w:val="20"/>
          <w:lang w:val="bs-Latn-BA"/>
        </w:rPr>
        <w:t>e government in order to strength</w:t>
      </w:r>
      <w:r w:rsidR="00D465BE" w:rsidRPr="00BB7B0F">
        <w:rPr>
          <w:rFonts w:ascii="Arial" w:eastAsia="Times New Roman" w:hAnsi="Arial" w:cs="Arial"/>
          <w:spacing w:val="-5"/>
          <w:sz w:val="20"/>
          <w:szCs w:val="20"/>
          <w:lang w:val="bs-Latn-BA"/>
        </w:rPr>
        <w:t>en the transparency and liability in their work, which is one of the proclaimed principles in the Reform Agenda for BiH 2015-2018.</w:t>
      </w:r>
      <w:r w:rsidR="00291306" w:rsidRPr="00BB7B0F">
        <w:rPr>
          <w:rFonts w:ascii="Arial" w:eastAsia="Times New Roman" w:hAnsi="Arial" w:cs="Arial"/>
          <w:spacing w:val="-5"/>
          <w:sz w:val="20"/>
          <w:szCs w:val="20"/>
          <w:lang w:val="bs-Latn-BA"/>
        </w:rPr>
        <w:t xml:space="preserve">     </w:t>
      </w:r>
    </w:p>
    <w:p w:rsidR="00291306" w:rsidRPr="00BB7B0F" w:rsidRDefault="00291306" w:rsidP="00291306">
      <w:pPr>
        <w:spacing w:after="0" w:line="240" w:lineRule="auto"/>
        <w:jc w:val="both"/>
        <w:rPr>
          <w:rFonts w:ascii="Arial" w:eastAsia="Times New Roman" w:hAnsi="Arial" w:cs="Arial"/>
          <w:spacing w:val="-5"/>
          <w:sz w:val="20"/>
          <w:szCs w:val="20"/>
          <w:lang w:val="bs-Latn-BA"/>
        </w:rPr>
      </w:pPr>
    </w:p>
    <w:p w:rsidR="006F6CC7" w:rsidRPr="00BB7B0F" w:rsidRDefault="00D465BE" w:rsidP="00D465BE">
      <w:pPr>
        <w:spacing w:after="0" w:line="240" w:lineRule="auto"/>
        <w:jc w:val="both"/>
        <w:rPr>
          <w:rFonts w:ascii="Arial" w:hAnsi="Arial" w:cs="Arial"/>
          <w:sz w:val="20"/>
          <w:szCs w:val="20"/>
          <w:lang w:val="bs-Latn-BA"/>
        </w:rPr>
      </w:pPr>
      <w:r w:rsidRPr="00BB7B0F">
        <w:rPr>
          <w:rFonts w:ascii="Arial" w:eastAsia="Times New Roman" w:hAnsi="Arial" w:cs="Arial"/>
          <w:spacing w:val="-5"/>
          <w:sz w:val="20"/>
          <w:szCs w:val="20"/>
          <w:lang w:val="bs-Latn-BA"/>
        </w:rPr>
        <w:t xml:space="preserve">The conference will be held on </w:t>
      </w:r>
      <w:r w:rsidRPr="00BB7B0F">
        <w:rPr>
          <w:rFonts w:ascii="Arial" w:eastAsia="Times New Roman" w:hAnsi="Arial" w:cs="Arial"/>
          <w:b/>
          <w:spacing w:val="-5"/>
          <w:sz w:val="20"/>
          <w:szCs w:val="20"/>
          <w:lang w:val="bs-Latn-BA"/>
        </w:rPr>
        <w:t>Tuesday, 21st June 2016, at the Hotel Europe in Sarajevo</w:t>
      </w:r>
      <w:r w:rsidRPr="00BB7B0F">
        <w:rPr>
          <w:rFonts w:ascii="Arial" w:eastAsia="Times New Roman" w:hAnsi="Arial" w:cs="Arial"/>
          <w:spacing w:val="-5"/>
          <w:sz w:val="20"/>
          <w:szCs w:val="20"/>
          <w:lang w:val="bs-Latn-BA"/>
        </w:rPr>
        <w:t xml:space="preserve"> (Mezzanine hall) </w:t>
      </w:r>
      <w:r w:rsidRPr="00BB7B0F">
        <w:rPr>
          <w:rFonts w:ascii="Arial" w:eastAsia="Times New Roman" w:hAnsi="Arial" w:cs="Arial"/>
          <w:b/>
          <w:spacing w:val="-5"/>
          <w:sz w:val="20"/>
          <w:szCs w:val="20"/>
          <w:lang w:val="bs-Latn-BA"/>
        </w:rPr>
        <w:t xml:space="preserve">at 11.00h. </w:t>
      </w:r>
      <w:r w:rsidRPr="00BB7B0F">
        <w:rPr>
          <w:rFonts w:ascii="Arial" w:eastAsia="Times New Roman" w:hAnsi="Arial" w:cs="Arial"/>
          <w:spacing w:val="-5"/>
          <w:sz w:val="20"/>
          <w:szCs w:val="20"/>
          <w:lang w:val="bs-Latn-BA"/>
        </w:rPr>
        <w:t xml:space="preserve">The press conference will be held at 10.45h. </w:t>
      </w:r>
    </w:p>
    <w:p w:rsidR="00291306" w:rsidRPr="00BB7B0F" w:rsidRDefault="00291306" w:rsidP="008B132F">
      <w:pPr>
        <w:pStyle w:val="NoSpacing"/>
        <w:rPr>
          <w:rFonts w:ascii="Arial" w:hAnsi="Arial" w:cs="Arial"/>
          <w:sz w:val="20"/>
          <w:szCs w:val="20"/>
          <w:lang w:val="bs-Latn-BA"/>
        </w:rPr>
      </w:pPr>
    </w:p>
    <w:bookmarkEnd w:id="0"/>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291306" w:rsidRPr="00BB7B0F" w:rsidRDefault="00291306" w:rsidP="008B132F">
      <w:pPr>
        <w:pStyle w:val="NoSpacing"/>
        <w:rPr>
          <w:rFonts w:ascii="Arial" w:hAnsi="Arial" w:cs="Arial"/>
          <w:sz w:val="20"/>
          <w:szCs w:val="20"/>
          <w:lang w:val="bs-Latn-BA"/>
        </w:rPr>
      </w:pPr>
    </w:p>
    <w:p w:rsidR="001E07C2" w:rsidRPr="00BB7B0F" w:rsidRDefault="001E07C2" w:rsidP="0047077D">
      <w:pPr>
        <w:pStyle w:val="PlainText"/>
        <w:rPr>
          <w:rFonts w:ascii="Arial" w:hAnsi="Arial" w:cs="Arial"/>
          <w:sz w:val="20"/>
          <w:szCs w:val="20"/>
        </w:rPr>
      </w:pPr>
    </w:p>
    <w:p w:rsidR="00B7216B" w:rsidRPr="00BB7B0F" w:rsidRDefault="00B7216B" w:rsidP="00E90A36">
      <w:pPr>
        <w:spacing w:before="240"/>
        <w:jc w:val="center"/>
        <w:rPr>
          <w:rFonts w:ascii="Arial" w:hAnsi="Arial" w:cs="Arial"/>
          <w:b/>
          <w:sz w:val="20"/>
          <w:szCs w:val="20"/>
          <w:lang w:val="bs-Latn-BA" w:eastAsia="bs-Latn-BA"/>
        </w:rPr>
      </w:pPr>
    </w:p>
    <w:p w:rsidR="00B7216B" w:rsidRPr="00BB7B0F" w:rsidRDefault="00B7216B" w:rsidP="00E90A36">
      <w:pPr>
        <w:spacing w:before="240"/>
        <w:jc w:val="center"/>
        <w:rPr>
          <w:rFonts w:ascii="Arial" w:hAnsi="Arial" w:cs="Arial"/>
          <w:b/>
          <w:sz w:val="20"/>
          <w:szCs w:val="20"/>
          <w:lang w:val="bs-Latn-BA" w:eastAsia="bs-Latn-BA"/>
        </w:rPr>
      </w:pPr>
    </w:p>
    <w:p w:rsidR="004A28C2" w:rsidRPr="00BB7B0F" w:rsidRDefault="004A28C2" w:rsidP="00E90A36">
      <w:pPr>
        <w:spacing w:before="240"/>
        <w:jc w:val="center"/>
        <w:rPr>
          <w:rFonts w:ascii="Arial" w:hAnsi="Arial" w:cs="Arial"/>
          <w:b/>
          <w:sz w:val="20"/>
          <w:szCs w:val="20"/>
          <w:lang w:val="bs-Latn-BA" w:eastAsia="bs-Latn-BA"/>
        </w:rPr>
      </w:pPr>
    </w:p>
    <w:p w:rsidR="00E90A36" w:rsidRPr="00BB7B0F" w:rsidRDefault="00D465BE" w:rsidP="00E90A36">
      <w:pPr>
        <w:spacing w:before="240"/>
        <w:jc w:val="center"/>
        <w:rPr>
          <w:rFonts w:ascii="Arial" w:hAnsi="Arial" w:cs="Arial"/>
          <w:b/>
          <w:sz w:val="20"/>
          <w:szCs w:val="20"/>
          <w:lang w:val="bs-Latn-BA" w:eastAsia="bs-Latn-BA"/>
        </w:rPr>
      </w:pPr>
      <w:r w:rsidRPr="00BB7B0F">
        <w:rPr>
          <w:rFonts w:ascii="Arial" w:hAnsi="Arial" w:cs="Arial"/>
          <w:b/>
          <w:sz w:val="20"/>
          <w:szCs w:val="20"/>
          <w:lang w:val="bs-Latn-BA" w:eastAsia="bs-Latn-BA"/>
        </w:rPr>
        <w:t>Conference:</w:t>
      </w:r>
      <w:r w:rsidR="00E90A36" w:rsidRPr="00BB7B0F">
        <w:rPr>
          <w:rFonts w:ascii="Arial" w:hAnsi="Arial" w:cs="Arial"/>
          <w:b/>
          <w:sz w:val="20"/>
          <w:szCs w:val="20"/>
          <w:lang w:val="bs-Latn-BA" w:eastAsia="bs-Latn-BA"/>
        </w:rPr>
        <w:t xml:space="preserve"> </w:t>
      </w:r>
      <w:r w:rsidRPr="00BB7B0F">
        <w:rPr>
          <w:rFonts w:ascii="Arial" w:hAnsi="Arial" w:cs="Arial"/>
          <w:b/>
          <w:sz w:val="20"/>
          <w:szCs w:val="20"/>
          <w:lang w:val="bs-Latn-BA" w:eastAsia="bs-Latn-BA"/>
        </w:rPr>
        <w:t xml:space="preserve">Open Government Partnership from vision to action </w:t>
      </w:r>
    </w:p>
    <w:p w:rsidR="00E90A36" w:rsidRPr="00BB7B0F" w:rsidRDefault="00D465BE" w:rsidP="00E90A36">
      <w:pPr>
        <w:tabs>
          <w:tab w:val="left" w:pos="2580"/>
          <w:tab w:val="center" w:pos="4536"/>
        </w:tabs>
        <w:spacing w:after="0"/>
        <w:jc w:val="center"/>
        <w:rPr>
          <w:rFonts w:ascii="Arial" w:hAnsi="Arial" w:cs="Arial"/>
          <w:b/>
          <w:bCs/>
          <w:sz w:val="20"/>
          <w:szCs w:val="20"/>
          <w:lang w:val="bs-Latn-BA" w:eastAsia="bs-Latn-BA"/>
        </w:rPr>
      </w:pPr>
      <w:r w:rsidRPr="00BB7B0F">
        <w:rPr>
          <w:rFonts w:ascii="Arial" w:hAnsi="Arial" w:cs="Arial"/>
          <w:b/>
          <w:bCs/>
          <w:sz w:val="20"/>
          <w:szCs w:val="20"/>
          <w:lang w:val="bs-Latn-BA" w:eastAsia="bs-Latn-BA"/>
        </w:rPr>
        <w:t>Sarajevo, 21st June, 2016</w:t>
      </w:r>
    </w:p>
    <w:p w:rsidR="00E90A36" w:rsidRPr="00BB7B0F" w:rsidRDefault="00E90A36" w:rsidP="00E90A36">
      <w:pPr>
        <w:tabs>
          <w:tab w:val="left" w:pos="2580"/>
          <w:tab w:val="center" w:pos="4536"/>
        </w:tabs>
        <w:spacing w:after="0"/>
        <w:jc w:val="center"/>
        <w:rPr>
          <w:rFonts w:ascii="Arial" w:hAnsi="Arial" w:cs="Arial"/>
          <w:bCs/>
          <w:sz w:val="20"/>
          <w:szCs w:val="20"/>
          <w:lang w:val="bs-Latn-BA" w:eastAsia="bs-Latn-BA"/>
        </w:rPr>
      </w:pPr>
      <w:r w:rsidRPr="00BB7B0F">
        <w:rPr>
          <w:rFonts w:ascii="Arial" w:hAnsi="Arial" w:cs="Arial"/>
          <w:bCs/>
          <w:sz w:val="20"/>
          <w:szCs w:val="20"/>
          <w:lang w:val="bs-Latn-BA" w:eastAsia="bs-Latn-BA"/>
        </w:rPr>
        <w:t>Hotel Europe, Vladislava Skarića 5, 71000 Sarajevo, BiH</w:t>
      </w:r>
    </w:p>
    <w:p w:rsidR="00E90A36" w:rsidRPr="00BB7B0F" w:rsidRDefault="00E90A36" w:rsidP="00E90A36">
      <w:pPr>
        <w:spacing w:after="0"/>
        <w:rPr>
          <w:rFonts w:ascii="Arial" w:hAnsi="Arial" w:cs="Arial"/>
          <w:b/>
          <w:bCs/>
          <w:sz w:val="20"/>
          <w:szCs w:val="20"/>
          <w:lang w:val="bs-Latn-BA" w:eastAsia="bs-Latn-BA"/>
        </w:rPr>
      </w:pPr>
    </w:p>
    <w:p w:rsidR="00E90A36" w:rsidRPr="00BB7B0F" w:rsidRDefault="00D465BE" w:rsidP="00E90A36">
      <w:pPr>
        <w:spacing w:after="0"/>
        <w:rPr>
          <w:rFonts w:ascii="Arial" w:hAnsi="Arial" w:cs="Arial"/>
          <w:b/>
          <w:bCs/>
          <w:sz w:val="20"/>
          <w:szCs w:val="20"/>
          <w:lang w:val="bs-Latn-BA" w:eastAsia="bs-Latn-BA"/>
        </w:rPr>
      </w:pPr>
      <w:r w:rsidRPr="00BB7B0F">
        <w:rPr>
          <w:rFonts w:ascii="Arial" w:hAnsi="Arial" w:cs="Arial"/>
          <w:b/>
          <w:bCs/>
          <w:sz w:val="20"/>
          <w:szCs w:val="20"/>
          <w:lang w:val="bs-Latn-BA" w:eastAsia="bs-Latn-BA"/>
        </w:rPr>
        <w:t>Draft Agenda</w:t>
      </w:r>
      <w:r w:rsidR="00E90A36" w:rsidRPr="00BB7B0F">
        <w:rPr>
          <w:rFonts w:ascii="Arial" w:hAnsi="Arial" w:cs="Arial"/>
          <w:b/>
          <w:bCs/>
          <w:sz w:val="20"/>
          <w:szCs w:val="20"/>
          <w:lang w:val="bs-Latn-BA" w:eastAsia="bs-Latn-BA"/>
        </w:rPr>
        <w:t>:</w:t>
      </w:r>
    </w:p>
    <w:p w:rsidR="00E90A36" w:rsidRPr="00BB7B0F" w:rsidRDefault="00E90A36" w:rsidP="00E90A36">
      <w:pPr>
        <w:spacing w:after="0"/>
        <w:jc w:val="center"/>
        <w:rPr>
          <w:rFonts w:ascii="Arial" w:hAnsi="Arial" w:cs="Arial"/>
          <w:b/>
          <w:bCs/>
          <w:sz w:val="20"/>
          <w:szCs w:val="20"/>
          <w:lang w:val="bs-Latn-BA" w:eastAsia="bs-Latn-BA"/>
        </w:rPr>
      </w:pPr>
    </w:p>
    <w:tbl>
      <w:tblPr>
        <w:tblW w:w="11058" w:type="dxa"/>
        <w:tblLook w:val="04A0" w:firstRow="1" w:lastRow="0" w:firstColumn="1" w:lastColumn="0" w:noHBand="0" w:noVBand="1"/>
      </w:tblPr>
      <w:tblGrid>
        <w:gridCol w:w="1701"/>
        <w:gridCol w:w="8931"/>
        <w:gridCol w:w="426"/>
      </w:tblGrid>
      <w:tr w:rsidR="00E90A36" w:rsidRPr="00BB7B0F" w:rsidTr="00602430">
        <w:trPr>
          <w:gridAfter w:val="1"/>
          <w:wAfter w:w="426" w:type="dxa"/>
        </w:trPr>
        <w:tc>
          <w:tcPr>
            <w:tcW w:w="1701" w:type="dxa"/>
          </w:tcPr>
          <w:p w:rsidR="00E90A36" w:rsidRPr="00BB7B0F" w:rsidRDefault="00E90A36" w:rsidP="00602430">
            <w:pPr>
              <w:spacing w:after="0" w:line="360" w:lineRule="auto"/>
              <w:jc w:val="right"/>
              <w:rPr>
                <w:rFonts w:ascii="Arial" w:hAnsi="Arial" w:cs="Arial"/>
                <w:b/>
                <w:sz w:val="20"/>
                <w:szCs w:val="20"/>
                <w:lang w:val="bs-Latn-BA" w:eastAsia="bs-Latn-BA"/>
              </w:rPr>
            </w:pPr>
            <w:r w:rsidRPr="00BB7B0F">
              <w:rPr>
                <w:rFonts w:ascii="Arial" w:hAnsi="Arial" w:cs="Arial"/>
                <w:b/>
                <w:sz w:val="20"/>
                <w:szCs w:val="20"/>
                <w:lang w:val="bs-Latn-BA" w:eastAsia="bs-Latn-BA"/>
              </w:rPr>
              <w:t>10:30 – 11:00</w:t>
            </w:r>
          </w:p>
        </w:tc>
        <w:tc>
          <w:tcPr>
            <w:tcW w:w="8931" w:type="dxa"/>
          </w:tcPr>
          <w:p w:rsidR="00E90A36" w:rsidRPr="00BB7B0F" w:rsidRDefault="00D465BE" w:rsidP="00602430">
            <w:pPr>
              <w:spacing w:after="0" w:line="360" w:lineRule="auto"/>
              <w:rPr>
                <w:rFonts w:ascii="Arial" w:hAnsi="Arial" w:cs="Arial"/>
                <w:sz w:val="20"/>
                <w:szCs w:val="20"/>
                <w:lang w:val="bs-Latn-BA" w:eastAsia="bs-Latn-BA"/>
              </w:rPr>
            </w:pPr>
            <w:r w:rsidRPr="00BB7B0F">
              <w:rPr>
                <w:rFonts w:ascii="Arial" w:hAnsi="Arial" w:cs="Arial"/>
                <w:sz w:val="20"/>
                <w:szCs w:val="20"/>
                <w:lang w:val="bs-Latn-BA" w:eastAsia="bs-Latn-BA"/>
              </w:rPr>
              <w:t>Registration of participants</w:t>
            </w:r>
            <w:r w:rsidR="00E90A36" w:rsidRPr="00BB7B0F">
              <w:rPr>
                <w:rFonts w:ascii="Arial" w:hAnsi="Arial" w:cs="Arial"/>
                <w:sz w:val="20"/>
                <w:szCs w:val="20"/>
                <w:lang w:val="bs-Latn-BA" w:eastAsia="bs-Latn-BA"/>
              </w:rPr>
              <w:t>/</w:t>
            </w:r>
            <w:r w:rsidRPr="00BB7B0F">
              <w:rPr>
                <w:rFonts w:ascii="Arial" w:hAnsi="Arial" w:cs="Arial"/>
                <w:sz w:val="20"/>
                <w:szCs w:val="20"/>
                <w:lang w:val="bs-Latn-BA" w:eastAsia="bs-Latn-BA"/>
              </w:rPr>
              <w:t>Press conference</w:t>
            </w:r>
          </w:p>
        </w:tc>
      </w:tr>
      <w:tr w:rsidR="00E90A36" w:rsidRPr="00BB7B0F" w:rsidTr="00602430">
        <w:trPr>
          <w:gridAfter w:val="1"/>
          <w:wAfter w:w="426" w:type="dxa"/>
        </w:trPr>
        <w:tc>
          <w:tcPr>
            <w:tcW w:w="1701" w:type="dxa"/>
          </w:tcPr>
          <w:p w:rsidR="00E90A36" w:rsidRPr="00BB7B0F" w:rsidRDefault="00E90A36" w:rsidP="00602430">
            <w:pPr>
              <w:spacing w:after="0" w:line="360" w:lineRule="auto"/>
              <w:jc w:val="right"/>
              <w:rPr>
                <w:rFonts w:ascii="Arial" w:hAnsi="Arial" w:cs="Arial"/>
                <w:b/>
                <w:sz w:val="20"/>
                <w:szCs w:val="20"/>
                <w:lang w:val="bs-Latn-BA" w:eastAsia="bs-Latn-BA"/>
              </w:rPr>
            </w:pPr>
            <w:r w:rsidRPr="00BB7B0F">
              <w:rPr>
                <w:rFonts w:ascii="Arial" w:hAnsi="Arial" w:cs="Arial"/>
                <w:b/>
                <w:sz w:val="20"/>
                <w:szCs w:val="20"/>
                <w:lang w:val="bs-Latn-BA" w:eastAsia="bs-Latn-BA"/>
              </w:rPr>
              <w:t>11:00 – 11:15</w:t>
            </w:r>
          </w:p>
        </w:tc>
        <w:tc>
          <w:tcPr>
            <w:tcW w:w="8931" w:type="dxa"/>
          </w:tcPr>
          <w:p w:rsidR="00E90A36" w:rsidRPr="00BB7B0F" w:rsidRDefault="00D465BE" w:rsidP="00602430">
            <w:pPr>
              <w:spacing w:after="0" w:line="360" w:lineRule="auto"/>
              <w:rPr>
                <w:rFonts w:ascii="Arial" w:hAnsi="Arial" w:cs="Arial"/>
                <w:sz w:val="20"/>
                <w:szCs w:val="20"/>
                <w:lang w:val="bs-Latn-BA" w:eastAsia="bs-Latn-BA"/>
              </w:rPr>
            </w:pPr>
            <w:r w:rsidRPr="00BB7B0F">
              <w:rPr>
                <w:rFonts w:ascii="Arial" w:hAnsi="Arial" w:cs="Arial"/>
                <w:sz w:val="20"/>
                <w:szCs w:val="20"/>
                <w:lang w:val="bs-Latn-BA" w:eastAsia="bs-Latn-BA"/>
              </w:rPr>
              <w:t>Introductory speeches</w:t>
            </w:r>
            <w:r w:rsidR="00E90A36" w:rsidRPr="00BB7B0F">
              <w:rPr>
                <w:rFonts w:ascii="Arial" w:hAnsi="Arial" w:cs="Arial"/>
                <w:sz w:val="20"/>
                <w:szCs w:val="20"/>
                <w:lang w:val="bs-Latn-BA" w:eastAsia="bs-Latn-BA"/>
              </w:rPr>
              <w:t xml:space="preserve"> </w:t>
            </w:r>
          </w:p>
          <w:p w:rsidR="00E90A36" w:rsidRPr="00BB7B0F" w:rsidRDefault="00E90A36" w:rsidP="00602430">
            <w:pPr>
              <w:pStyle w:val="ListParagraph"/>
              <w:numPr>
                <w:ilvl w:val="0"/>
                <w:numId w:val="5"/>
              </w:numPr>
              <w:spacing w:after="0" w:line="240" w:lineRule="auto"/>
              <w:ind w:left="318" w:hanging="318"/>
              <w:rPr>
                <w:rFonts w:ascii="Arial" w:hAnsi="Arial" w:cs="Arial"/>
                <w:sz w:val="20"/>
                <w:szCs w:val="20"/>
                <w:lang w:val="bs-Latn-BA" w:eastAsia="bs-Latn-BA"/>
              </w:rPr>
            </w:pPr>
            <w:r w:rsidRPr="00BB7B0F">
              <w:rPr>
                <w:rFonts w:ascii="Arial" w:hAnsi="Arial" w:cs="Arial"/>
                <w:b/>
                <w:bCs/>
                <w:sz w:val="20"/>
                <w:szCs w:val="20"/>
                <w:lang w:val="bs-Latn-BA" w:eastAsia="bs-Latn-BA"/>
              </w:rPr>
              <w:t xml:space="preserve">Lejla Ibranović, </w:t>
            </w:r>
            <w:r w:rsidR="00D465BE" w:rsidRPr="00BB7B0F">
              <w:rPr>
                <w:rFonts w:ascii="Arial" w:hAnsi="Arial" w:cs="Arial"/>
                <w:bCs/>
                <w:sz w:val="20"/>
                <w:szCs w:val="20"/>
                <w:lang w:val="bs-Latn-BA" w:eastAsia="bs-Latn-BA"/>
              </w:rPr>
              <w:t xml:space="preserve">Executive Director of </w:t>
            </w:r>
            <w:r w:rsidRPr="00BB7B0F">
              <w:rPr>
                <w:rFonts w:ascii="Arial" w:hAnsi="Arial" w:cs="Arial"/>
                <w:sz w:val="20"/>
                <w:szCs w:val="20"/>
                <w:lang w:val="bs-Latn-BA" w:eastAsia="bs-Latn-BA"/>
              </w:rPr>
              <w:t xml:space="preserve">Transparency International BiH </w:t>
            </w:r>
          </w:p>
          <w:p w:rsidR="00E90A36" w:rsidRPr="00BB7B0F" w:rsidRDefault="00D465BE" w:rsidP="00602430">
            <w:pPr>
              <w:pStyle w:val="ListParagraph"/>
              <w:numPr>
                <w:ilvl w:val="0"/>
                <w:numId w:val="5"/>
              </w:numPr>
              <w:spacing w:after="0" w:line="240" w:lineRule="auto"/>
              <w:ind w:left="318" w:hanging="318"/>
              <w:rPr>
                <w:rFonts w:ascii="Arial" w:hAnsi="Arial" w:cs="Arial"/>
                <w:b/>
                <w:bCs/>
                <w:sz w:val="20"/>
                <w:szCs w:val="20"/>
                <w:lang w:val="bs-Latn-BA" w:eastAsia="bs-Latn-BA"/>
              </w:rPr>
            </w:pPr>
            <w:r w:rsidRPr="00BB7B0F">
              <w:rPr>
                <w:rFonts w:ascii="Arial" w:hAnsi="Arial" w:cs="Arial"/>
                <w:sz w:val="20"/>
                <w:szCs w:val="20"/>
                <w:lang w:val="bs-Latn-BA" w:eastAsia="bs-Latn-BA"/>
              </w:rPr>
              <w:t xml:space="preserve">Office of the Prime Minister FBiH, TBC </w:t>
            </w:r>
          </w:p>
          <w:p w:rsidR="00E90A36" w:rsidRPr="00BB7B0F" w:rsidRDefault="00E90A36" w:rsidP="00A67187">
            <w:pPr>
              <w:pStyle w:val="ListParagraph"/>
              <w:spacing w:after="0" w:line="240" w:lineRule="auto"/>
              <w:ind w:left="318"/>
              <w:rPr>
                <w:rFonts w:ascii="Arial" w:hAnsi="Arial" w:cs="Arial"/>
                <w:b/>
                <w:bCs/>
                <w:sz w:val="20"/>
                <w:szCs w:val="20"/>
                <w:bdr w:val="none" w:sz="0" w:space="0" w:color="auto" w:frame="1"/>
                <w:shd w:val="clear" w:color="auto" w:fill="FFFFFF"/>
              </w:rPr>
            </w:pPr>
          </w:p>
        </w:tc>
      </w:tr>
      <w:tr w:rsidR="00E90A36" w:rsidRPr="00BB7B0F" w:rsidTr="00602430">
        <w:tc>
          <w:tcPr>
            <w:tcW w:w="1701" w:type="dxa"/>
            <w:shd w:val="clear" w:color="auto" w:fill="auto"/>
          </w:tcPr>
          <w:p w:rsidR="00E90A36" w:rsidRPr="00BB7B0F" w:rsidRDefault="00E90A36" w:rsidP="00602430">
            <w:pPr>
              <w:spacing w:after="0" w:line="360" w:lineRule="auto"/>
              <w:jc w:val="right"/>
              <w:rPr>
                <w:rFonts w:ascii="Arial" w:hAnsi="Arial" w:cs="Arial"/>
                <w:b/>
                <w:sz w:val="20"/>
                <w:szCs w:val="20"/>
                <w:lang w:val="bs-Latn-BA" w:eastAsia="bs-Latn-BA"/>
              </w:rPr>
            </w:pPr>
            <w:r w:rsidRPr="00BB7B0F">
              <w:rPr>
                <w:rFonts w:ascii="Arial" w:hAnsi="Arial" w:cs="Arial"/>
                <w:b/>
                <w:sz w:val="20"/>
                <w:szCs w:val="20"/>
                <w:lang w:val="bs-Latn-BA" w:eastAsia="bs-Latn-BA"/>
              </w:rPr>
              <w:t>11:15 – 12:00</w:t>
            </w:r>
          </w:p>
        </w:tc>
        <w:tc>
          <w:tcPr>
            <w:tcW w:w="9357" w:type="dxa"/>
            <w:gridSpan w:val="2"/>
            <w:shd w:val="clear" w:color="auto" w:fill="auto"/>
          </w:tcPr>
          <w:p w:rsidR="00E90A36" w:rsidRPr="00BB7B0F" w:rsidRDefault="00D465BE" w:rsidP="00602430">
            <w:pPr>
              <w:spacing w:after="0" w:line="240" w:lineRule="auto"/>
              <w:rPr>
                <w:rFonts w:ascii="Arial" w:hAnsi="Arial" w:cs="Arial"/>
                <w:b/>
                <w:sz w:val="20"/>
                <w:szCs w:val="20"/>
                <w:lang w:val="bs-Latn-BA"/>
              </w:rPr>
            </w:pPr>
            <w:r w:rsidRPr="00BB7B0F">
              <w:rPr>
                <w:rFonts w:ascii="Arial" w:eastAsia="Calibri" w:hAnsi="Arial" w:cs="Arial"/>
                <w:b/>
                <w:sz w:val="20"/>
                <w:szCs w:val="20"/>
                <w:lang w:val="bs-Latn-BA"/>
              </w:rPr>
              <w:t xml:space="preserve">From vision to action: Why Open Government Partnership? </w:t>
            </w:r>
          </w:p>
          <w:p w:rsidR="00E90A36" w:rsidRPr="00BB7B0F" w:rsidRDefault="00E90A36" w:rsidP="00602430">
            <w:pPr>
              <w:spacing w:line="240" w:lineRule="auto"/>
              <w:rPr>
                <w:rFonts w:ascii="Arial" w:hAnsi="Arial" w:cs="Arial"/>
                <w:i/>
                <w:sz w:val="20"/>
                <w:szCs w:val="20"/>
                <w:lang w:val="bs-Latn-BA" w:eastAsia="bs-Latn-BA"/>
              </w:rPr>
            </w:pPr>
            <w:r w:rsidRPr="00BB7B0F">
              <w:rPr>
                <w:rFonts w:ascii="Arial" w:hAnsi="Arial" w:cs="Arial"/>
                <w:i/>
                <w:sz w:val="20"/>
                <w:szCs w:val="20"/>
                <w:lang w:val="bs-Latn-BA" w:eastAsia="bs-Latn-BA"/>
              </w:rPr>
              <w:t>moderator: Elvira Mujkić, Transparency International BiH</w:t>
            </w:r>
          </w:p>
        </w:tc>
      </w:tr>
      <w:tr w:rsidR="00E90A36" w:rsidRPr="00BB7B0F" w:rsidTr="00602430">
        <w:trPr>
          <w:gridAfter w:val="1"/>
          <w:wAfter w:w="426" w:type="dxa"/>
        </w:trPr>
        <w:tc>
          <w:tcPr>
            <w:tcW w:w="1701" w:type="dxa"/>
          </w:tcPr>
          <w:p w:rsidR="00E90A36" w:rsidRPr="00BB7B0F" w:rsidRDefault="00E90A36" w:rsidP="00602430">
            <w:pPr>
              <w:spacing w:after="0" w:line="240" w:lineRule="auto"/>
              <w:ind w:firstLine="34"/>
              <w:jc w:val="right"/>
              <w:rPr>
                <w:rFonts w:ascii="Arial" w:hAnsi="Arial" w:cs="Arial"/>
                <w:b/>
                <w:sz w:val="20"/>
                <w:szCs w:val="20"/>
                <w:lang w:val="bs-Latn-BA" w:eastAsia="bs-Latn-BA"/>
              </w:rPr>
            </w:pPr>
          </w:p>
        </w:tc>
        <w:tc>
          <w:tcPr>
            <w:tcW w:w="8931" w:type="dxa"/>
          </w:tcPr>
          <w:p w:rsidR="00E90A36" w:rsidRPr="00BB7B0F" w:rsidRDefault="00E90A36" w:rsidP="00602430">
            <w:pPr>
              <w:pStyle w:val="ListParagraph"/>
              <w:numPr>
                <w:ilvl w:val="0"/>
                <w:numId w:val="4"/>
              </w:numPr>
              <w:spacing w:after="0" w:line="240" w:lineRule="auto"/>
              <w:ind w:left="284" w:hanging="284"/>
              <w:rPr>
                <w:rFonts w:ascii="Arial" w:hAnsi="Arial" w:cs="Arial"/>
                <w:sz w:val="20"/>
                <w:szCs w:val="20"/>
                <w:lang w:val="bs-Latn-BA" w:eastAsia="bs-Latn-BA"/>
              </w:rPr>
            </w:pPr>
            <w:r w:rsidRPr="00BB7B0F">
              <w:rPr>
                <w:rFonts w:ascii="Arial" w:hAnsi="Arial" w:cs="Arial"/>
                <w:b/>
                <w:sz w:val="20"/>
                <w:szCs w:val="20"/>
                <w:lang w:val="bs-Latn-BA" w:eastAsia="bs-Latn-BA"/>
              </w:rPr>
              <w:t>Goran Kučera</w:t>
            </w:r>
            <w:r w:rsidRPr="00BB7B0F">
              <w:rPr>
                <w:rFonts w:ascii="Arial" w:hAnsi="Arial" w:cs="Arial"/>
                <w:sz w:val="20"/>
                <w:szCs w:val="20"/>
                <w:lang w:val="bs-Latn-BA" w:eastAsia="bs-Latn-BA"/>
              </w:rPr>
              <w:t xml:space="preserve">, </w:t>
            </w:r>
            <w:r w:rsidR="00BB7B0F" w:rsidRPr="00BB7B0F">
              <w:rPr>
                <w:rFonts w:ascii="Arial" w:hAnsi="Arial" w:cs="Arial"/>
                <w:sz w:val="20"/>
                <w:szCs w:val="20"/>
                <w:lang w:val="bs-Latn-BA" w:eastAsia="bs-Latn-BA"/>
              </w:rPr>
              <w:t xml:space="preserve">Ministry of Justice </w:t>
            </w:r>
            <w:r w:rsidRPr="00BB7B0F">
              <w:rPr>
                <w:rFonts w:ascii="Arial" w:hAnsi="Arial" w:cs="Arial"/>
                <w:sz w:val="20"/>
                <w:szCs w:val="20"/>
                <w:lang w:val="bs-Latn-BA" w:eastAsia="bs-Latn-BA"/>
              </w:rPr>
              <w:t>BiH</w:t>
            </w:r>
          </w:p>
          <w:p w:rsidR="00E90A36" w:rsidRPr="00BB7B0F" w:rsidRDefault="00E90A36" w:rsidP="00BB7B0F">
            <w:pPr>
              <w:pStyle w:val="ListParagraph"/>
              <w:numPr>
                <w:ilvl w:val="0"/>
                <w:numId w:val="4"/>
              </w:numPr>
              <w:spacing w:after="0" w:line="240" w:lineRule="auto"/>
              <w:ind w:left="284" w:hanging="284"/>
              <w:rPr>
                <w:rFonts w:ascii="Arial" w:hAnsi="Arial" w:cs="Arial"/>
                <w:b/>
                <w:sz w:val="20"/>
                <w:szCs w:val="20"/>
                <w:lang w:val="bs-Latn-BA" w:eastAsia="bs-Latn-BA"/>
              </w:rPr>
            </w:pPr>
            <w:r w:rsidRPr="00BB7B0F">
              <w:rPr>
                <w:rFonts w:ascii="Arial" w:hAnsi="Arial" w:cs="Arial"/>
                <w:b/>
                <w:sz w:val="20"/>
                <w:szCs w:val="20"/>
                <w:lang w:val="bs-Latn-BA" w:eastAsia="bs-Latn-BA"/>
              </w:rPr>
              <w:t>Vedrana Faladžić</w:t>
            </w:r>
            <w:r w:rsidRPr="00BB7B0F">
              <w:rPr>
                <w:rFonts w:ascii="Arial" w:hAnsi="Arial" w:cs="Arial"/>
                <w:sz w:val="20"/>
                <w:szCs w:val="20"/>
              </w:rPr>
              <w:t xml:space="preserve">, </w:t>
            </w:r>
            <w:r w:rsidR="00BB7B0F" w:rsidRPr="00BB7B0F">
              <w:rPr>
                <w:rFonts w:ascii="Arial" w:hAnsi="Arial" w:cs="Arial"/>
                <w:sz w:val="20"/>
                <w:szCs w:val="20"/>
              </w:rPr>
              <w:t xml:space="preserve">Public Administration Reform Coordinator’s Office </w:t>
            </w:r>
          </w:p>
        </w:tc>
      </w:tr>
      <w:tr w:rsidR="00E90A36" w:rsidRPr="00BB7B0F" w:rsidTr="00602430">
        <w:trPr>
          <w:gridAfter w:val="1"/>
          <w:wAfter w:w="426" w:type="dxa"/>
          <w:trHeight w:val="268"/>
        </w:trPr>
        <w:tc>
          <w:tcPr>
            <w:tcW w:w="1701" w:type="dxa"/>
          </w:tcPr>
          <w:p w:rsidR="00E90A36" w:rsidRPr="00BB7B0F" w:rsidRDefault="00E90A36" w:rsidP="00602430">
            <w:pPr>
              <w:spacing w:after="0" w:line="240" w:lineRule="auto"/>
              <w:ind w:firstLine="34"/>
              <w:jc w:val="right"/>
              <w:rPr>
                <w:rFonts w:ascii="Arial" w:hAnsi="Arial" w:cs="Arial"/>
                <w:b/>
                <w:sz w:val="20"/>
                <w:szCs w:val="20"/>
                <w:lang w:val="bs-Latn-BA" w:eastAsia="bs-Latn-BA"/>
              </w:rPr>
            </w:pPr>
          </w:p>
        </w:tc>
        <w:tc>
          <w:tcPr>
            <w:tcW w:w="8931" w:type="dxa"/>
          </w:tcPr>
          <w:p w:rsidR="00E90A36" w:rsidRPr="00BB7B0F" w:rsidRDefault="00E90A36" w:rsidP="00602430">
            <w:pPr>
              <w:pStyle w:val="ListParagraph"/>
              <w:numPr>
                <w:ilvl w:val="0"/>
                <w:numId w:val="4"/>
              </w:numPr>
              <w:spacing w:after="0" w:line="240" w:lineRule="auto"/>
              <w:ind w:left="284" w:hanging="284"/>
              <w:rPr>
                <w:rFonts w:ascii="Arial" w:hAnsi="Arial" w:cs="Arial"/>
                <w:b/>
                <w:sz w:val="20"/>
                <w:szCs w:val="20"/>
                <w:lang w:val="bs-Latn-BA" w:eastAsia="bs-Latn-BA"/>
              </w:rPr>
            </w:pPr>
            <w:r w:rsidRPr="00BB7B0F">
              <w:rPr>
                <w:rFonts w:ascii="Arial" w:hAnsi="Arial" w:cs="Arial"/>
                <w:b/>
                <w:sz w:val="20"/>
                <w:szCs w:val="20"/>
                <w:lang w:val="bs-Latn-BA" w:eastAsia="bs-Latn-BA"/>
              </w:rPr>
              <w:t xml:space="preserve">Elma Demir, </w:t>
            </w:r>
            <w:r w:rsidR="00BB7B0F" w:rsidRPr="00BB7B0F">
              <w:rPr>
                <w:rFonts w:ascii="Arial" w:hAnsi="Arial" w:cs="Arial"/>
                <w:sz w:val="20"/>
                <w:szCs w:val="20"/>
                <w:lang w:val="bs-Latn-BA" w:eastAsia="bs-Latn-BA"/>
              </w:rPr>
              <w:t>OGP researcher for Bosnia and Herzegovina</w:t>
            </w:r>
          </w:p>
          <w:p w:rsidR="00E90A36" w:rsidRPr="00BB7B0F" w:rsidRDefault="00E90A36" w:rsidP="00602430">
            <w:pPr>
              <w:pStyle w:val="ListParagraph"/>
              <w:numPr>
                <w:ilvl w:val="0"/>
                <w:numId w:val="4"/>
              </w:numPr>
              <w:spacing w:after="0" w:line="240" w:lineRule="auto"/>
              <w:ind w:left="284" w:hanging="284"/>
              <w:rPr>
                <w:rFonts w:ascii="Arial" w:hAnsi="Arial" w:cs="Arial"/>
                <w:sz w:val="20"/>
                <w:szCs w:val="20"/>
                <w:lang w:val="bs-Latn-BA" w:eastAsia="bs-Latn-BA"/>
              </w:rPr>
            </w:pPr>
            <w:r w:rsidRPr="00BB7B0F">
              <w:rPr>
                <w:rFonts w:ascii="Arial" w:hAnsi="Arial" w:cs="Arial"/>
                <w:b/>
                <w:sz w:val="20"/>
                <w:szCs w:val="20"/>
                <w:lang w:val="bs-Latn-BA" w:eastAsia="bs-Latn-BA"/>
              </w:rPr>
              <w:t xml:space="preserve">Dina Bajramspahić, </w:t>
            </w:r>
            <w:r w:rsidRPr="00BB7B0F">
              <w:rPr>
                <w:rFonts w:ascii="Arial" w:hAnsi="Arial" w:cs="Arial"/>
                <w:sz w:val="20"/>
                <w:szCs w:val="20"/>
                <w:lang w:val="bs-Latn-BA" w:eastAsia="bs-Latn-BA"/>
              </w:rPr>
              <w:t>Institut</w:t>
            </w:r>
            <w:r w:rsidR="00BB7B0F" w:rsidRPr="00BB7B0F">
              <w:rPr>
                <w:rFonts w:ascii="Arial" w:hAnsi="Arial" w:cs="Arial"/>
                <w:sz w:val="20"/>
                <w:szCs w:val="20"/>
                <w:lang w:val="bs-Latn-BA" w:eastAsia="bs-Latn-BA"/>
              </w:rPr>
              <w:t>e Alternativa Montenegro</w:t>
            </w:r>
          </w:p>
          <w:p w:rsidR="00E90A36" w:rsidRPr="00BB7B0F" w:rsidRDefault="00E90A36" w:rsidP="00602430">
            <w:pPr>
              <w:pStyle w:val="ListParagraph"/>
              <w:spacing w:after="0" w:line="240" w:lineRule="auto"/>
              <w:ind w:left="284"/>
              <w:rPr>
                <w:rFonts w:ascii="Arial" w:hAnsi="Arial" w:cs="Arial"/>
                <w:sz w:val="20"/>
                <w:szCs w:val="20"/>
                <w:lang w:val="bs-Latn-BA" w:eastAsia="bs-Latn-BA"/>
              </w:rPr>
            </w:pPr>
          </w:p>
        </w:tc>
      </w:tr>
      <w:tr w:rsidR="00E90A36" w:rsidRPr="00BB7B0F" w:rsidTr="00602430">
        <w:trPr>
          <w:gridAfter w:val="1"/>
          <w:wAfter w:w="426" w:type="dxa"/>
          <w:trHeight w:val="468"/>
        </w:trPr>
        <w:tc>
          <w:tcPr>
            <w:tcW w:w="1701" w:type="dxa"/>
          </w:tcPr>
          <w:p w:rsidR="00E90A36" w:rsidRPr="00BB7B0F" w:rsidRDefault="00E90A36" w:rsidP="00602430">
            <w:pPr>
              <w:spacing w:after="0" w:line="240" w:lineRule="auto"/>
              <w:ind w:firstLine="34"/>
              <w:jc w:val="right"/>
              <w:rPr>
                <w:rFonts w:ascii="Arial" w:hAnsi="Arial" w:cs="Arial"/>
                <w:b/>
                <w:sz w:val="20"/>
                <w:szCs w:val="20"/>
                <w:lang w:val="bs-Latn-BA" w:eastAsia="bs-Latn-BA"/>
              </w:rPr>
            </w:pPr>
            <w:r w:rsidRPr="00BB7B0F">
              <w:rPr>
                <w:rFonts w:ascii="Arial" w:hAnsi="Arial" w:cs="Arial"/>
                <w:b/>
                <w:sz w:val="20"/>
                <w:szCs w:val="20"/>
                <w:lang w:val="bs-Latn-BA" w:eastAsia="bs-Latn-BA"/>
              </w:rPr>
              <w:t>12:00 – 12:10</w:t>
            </w:r>
          </w:p>
        </w:tc>
        <w:tc>
          <w:tcPr>
            <w:tcW w:w="8931" w:type="dxa"/>
          </w:tcPr>
          <w:p w:rsidR="00E90A36" w:rsidRPr="00BB7B0F" w:rsidRDefault="00E90A36" w:rsidP="00602430">
            <w:pPr>
              <w:spacing w:after="0" w:line="240" w:lineRule="auto"/>
              <w:rPr>
                <w:rFonts w:ascii="Arial" w:hAnsi="Arial" w:cs="Arial"/>
                <w:sz w:val="20"/>
                <w:szCs w:val="20"/>
              </w:rPr>
            </w:pPr>
            <w:r w:rsidRPr="00BB7B0F">
              <w:rPr>
                <w:rFonts w:ascii="Arial" w:hAnsi="Arial" w:cs="Arial"/>
                <w:sz w:val="20"/>
                <w:szCs w:val="20"/>
              </w:rPr>
              <w:t>Dis</w:t>
            </w:r>
            <w:r w:rsidR="00BB7B0F" w:rsidRPr="00BB7B0F">
              <w:rPr>
                <w:rFonts w:ascii="Arial" w:hAnsi="Arial" w:cs="Arial"/>
                <w:sz w:val="20"/>
                <w:szCs w:val="20"/>
              </w:rPr>
              <w:t>cussion</w:t>
            </w:r>
          </w:p>
        </w:tc>
      </w:tr>
      <w:tr w:rsidR="00E90A36" w:rsidRPr="00BB7B0F" w:rsidTr="00602430">
        <w:trPr>
          <w:gridAfter w:val="1"/>
          <w:wAfter w:w="426" w:type="dxa"/>
          <w:trHeight w:val="468"/>
        </w:trPr>
        <w:tc>
          <w:tcPr>
            <w:tcW w:w="1701" w:type="dxa"/>
          </w:tcPr>
          <w:p w:rsidR="00E90A36" w:rsidRPr="00BB7B0F" w:rsidRDefault="00E90A36" w:rsidP="00602430">
            <w:pPr>
              <w:spacing w:after="0" w:line="240" w:lineRule="auto"/>
              <w:ind w:firstLine="34"/>
              <w:jc w:val="right"/>
              <w:rPr>
                <w:rFonts w:ascii="Arial" w:hAnsi="Arial" w:cs="Arial"/>
                <w:b/>
                <w:sz w:val="20"/>
                <w:szCs w:val="20"/>
                <w:lang w:val="bs-Latn-BA" w:eastAsia="bs-Latn-BA"/>
              </w:rPr>
            </w:pPr>
            <w:r w:rsidRPr="00BB7B0F">
              <w:rPr>
                <w:rFonts w:ascii="Arial" w:hAnsi="Arial" w:cs="Arial"/>
                <w:b/>
                <w:sz w:val="20"/>
                <w:szCs w:val="20"/>
                <w:lang w:val="bs-Latn-BA" w:eastAsia="bs-Latn-BA"/>
              </w:rPr>
              <w:t>12:10 – 12:30</w:t>
            </w:r>
          </w:p>
        </w:tc>
        <w:tc>
          <w:tcPr>
            <w:tcW w:w="8931" w:type="dxa"/>
          </w:tcPr>
          <w:p w:rsidR="00E90A36" w:rsidRPr="00BB7B0F" w:rsidRDefault="00BB7B0F" w:rsidP="00602430">
            <w:pPr>
              <w:spacing w:after="0" w:line="240" w:lineRule="auto"/>
              <w:rPr>
                <w:rFonts w:ascii="Arial" w:hAnsi="Arial" w:cs="Arial"/>
                <w:b/>
                <w:sz w:val="20"/>
                <w:szCs w:val="20"/>
              </w:rPr>
            </w:pPr>
            <w:r w:rsidRPr="00BB7B0F">
              <w:rPr>
                <w:rFonts w:ascii="Arial" w:hAnsi="Arial" w:cs="Arial"/>
                <w:b/>
                <w:sz w:val="20"/>
                <w:szCs w:val="20"/>
              </w:rPr>
              <w:t xml:space="preserve">Coffee break </w:t>
            </w:r>
          </w:p>
        </w:tc>
      </w:tr>
      <w:tr w:rsidR="00E90A36" w:rsidRPr="00BB7B0F" w:rsidTr="00602430">
        <w:trPr>
          <w:gridAfter w:val="1"/>
          <w:wAfter w:w="426" w:type="dxa"/>
        </w:trPr>
        <w:tc>
          <w:tcPr>
            <w:tcW w:w="1701" w:type="dxa"/>
          </w:tcPr>
          <w:p w:rsidR="00E90A36" w:rsidRPr="00BB7B0F" w:rsidRDefault="00E90A36" w:rsidP="00602430">
            <w:pPr>
              <w:spacing w:after="0" w:line="360" w:lineRule="auto"/>
              <w:jc w:val="right"/>
              <w:rPr>
                <w:rFonts w:ascii="Arial" w:hAnsi="Arial" w:cs="Arial"/>
                <w:b/>
                <w:sz w:val="20"/>
                <w:szCs w:val="20"/>
                <w:lang w:val="bs-Latn-BA" w:eastAsia="bs-Latn-BA"/>
              </w:rPr>
            </w:pPr>
            <w:r w:rsidRPr="00BB7B0F">
              <w:rPr>
                <w:rFonts w:ascii="Arial" w:hAnsi="Arial" w:cs="Arial"/>
                <w:b/>
                <w:sz w:val="20"/>
                <w:szCs w:val="20"/>
                <w:lang w:val="bs-Latn-BA" w:eastAsia="bs-Latn-BA"/>
              </w:rPr>
              <w:t>12:30 – 13:15</w:t>
            </w:r>
          </w:p>
        </w:tc>
        <w:tc>
          <w:tcPr>
            <w:tcW w:w="8931" w:type="dxa"/>
          </w:tcPr>
          <w:p w:rsidR="00E90A36" w:rsidRPr="00BB7B0F" w:rsidRDefault="00BB7B0F" w:rsidP="00602430">
            <w:pPr>
              <w:spacing w:line="240" w:lineRule="auto"/>
              <w:rPr>
                <w:rFonts w:ascii="Arial" w:hAnsi="Arial" w:cs="Arial"/>
                <w:b/>
                <w:sz w:val="20"/>
                <w:szCs w:val="20"/>
                <w:lang w:val="bs-Latn-BA" w:eastAsia="bs-Latn-BA"/>
              </w:rPr>
            </w:pPr>
            <w:r w:rsidRPr="00BB7B0F">
              <w:rPr>
                <w:rFonts w:ascii="Arial" w:hAnsi="Arial" w:cs="Arial"/>
                <w:b/>
                <w:sz w:val="20"/>
                <w:szCs w:val="20"/>
                <w:lang w:val="bs-Latn-BA" w:eastAsia="bs-Latn-BA"/>
              </w:rPr>
              <w:t xml:space="preserve">Open Government Partnership in BiH: Readiness of FBiH institutions and recommendations for the improvement </w:t>
            </w:r>
          </w:p>
          <w:p w:rsidR="00E90A36" w:rsidRPr="00BB7B0F" w:rsidRDefault="00E90A36" w:rsidP="00602430">
            <w:pPr>
              <w:pStyle w:val="ListParagraph"/>
              <w:numPr>
                <w:ilvl w:val="0"/>
                <w:numId w:val="4"/>
              </w:numPr>
              <w:spacing w:after="0" w:line="240" w:lineRule="auto"/>
              <w:ind w:left="284" w:hanging="284"/>
              <w:rPr>
                <w:rFonts w:ascii="Arial" w:hAnsi="Arial" w:cs="Arial"/>
                <w:sz w:val="20"/>
                <w:szCs w:val="20"/>
                <w:lang w:val="bs-Latn-BA" w:eastAsia="bs-Latn-BA"/>
              </w:rPr>
            </w:pPr>
            <w:r w:rsidRPr="00BB7B0F">
              <w:rPr>
                <w:rFonts w:ascii="Arial" w:hAnsi="Arial" w:cs="Arial"/>
                <w:b/>
                <w:sz w:val="20"/>
                <w:szCs w:val="20"/>
                <w:lang w:val="bs-Latn-BA" w:eastAsia="bs-Latn-BA"/>
              </w:rPr>
              <w:t>Elvira Mujkić</w:t>
            </w:r>
            <w:r w:rsidRPr="00BB7B0F">
              <w:rPr>
                <w:rFonts w:ascii="Arial" w:hAnsi="Arial" w:cs="Arial"/>
                <w:sz w:val="20"/>
                <w:szCs w:val="20"/>
                <w:lang w:val="bs-Latn-BA" w:eastAsia="bs-Latn-BA"/>
              </w:rPr>
              <w:t>,</w:t>
            </w:r>
            <w:r w:rsidRPr="00BB7B0F">
              <w:rPr>
                <w:rFonts w:ascii="Arial" w:hAnsi="Arial" w:cs="Arial"/>
                <w:sz w:val="20"/>
                <w:szCs w:val="20"/>
                <w:lang w:val="bs-Latn-BA"/>
              </w:rPr>
              <w:t xml:space="preserve"> Transparency International BiH </w:t>
            </w:r>
          </w:p>
          <w:p w:rsidR="00E90A36" w:rsidRPr="00BB7B0F" w:rsidRDefault="00AD264A" w:rsidP="00602430">
            <w:pPr>
              <w:pStyle w:val="ListParagraph"/>
              <w:numPr>
                <w:ilvl w:val="0"/>
                <w:numId w:val="4"/>
              </w:numPr>
              <w:spacing w:after="0" w:line="240" w:lineRule="auto"/>
              <w:ind w:left="284" w:hanging="284"/>
              <w:rPr>
                <w:rFonts w:ascii="Arial" w:hAnsi="Arial" w:cs="Arial"/>
                <w:sz w:val="20"/>
                <w:szCs w:val="20"/>
                <w:lang w:val="bs-Latn-BA" w:eastAsia="bs-Latn-BA"/>
              </w:rPr>
            </w:pPr>
            <w:r w:rsidRPr="00BB7B0F">
              <w:rPr>
                <w:rFonts w:ascii="Arial" w:hAnsi="Arial" w:cs="Arial"/>
                <w:b/>
                <w:sz w:val="20"/>
                <w:szCs w:val="20"/>
                <w:lang w:val="bs-Latn-BA"/>
              </w:rPr>
              <w:t>Mirjana Sirćo</w:t>
            </w:r>
            <w:r w:rsidR="00BB7B0F" w:rsidRPr="00BB7B0F">
              <w:rPr>
                <w:rFonts w:ascii="Arial" w:hAnsi="Arial" w:cs="Arial"/>
                <w:sz w:val="20"/>
                <w:szCs w:val="20"/>
                <w:lang w:val="bs-Latn-BA"/>
              </w:rPr>
              <w:t xml:space="preserve">, Foundation Public Interest Advocacy Center </w:t>
            </w:r>
          </w:p>
          <w:p w:rsidR="00AD264A" w:rsidRPr="00BB7B0F" w:rsidRDefault="00AD264A" w:rsidP="00AD264A">
            <w:pPr>
              <w:pStyle w:val="ListParagraph"/>
              <w:numPr>
                <w:ilvl w:val="0"/>
                <w:numId w:val="4"/>
              </w:numPr>
              <w:spacing w:after="0" w:line="240" w:lineRule="auto"/>
              <w:ind w:left="284" w:hanging="284"/>
              <w:rPr>
                <w:rFonts w:ascii="Arial" w:hAnsi="Arial" w:cs="Arial"/>
                <w:sz w:val="20"/>
                <w:szCs w:val="20"/>
                <w:lang w:val="bs-Latn-BA" w:eastAsia="bs-Latn-BA"/>
              </w:rPr>
            </w:pPr>
            <w:r w:rsidRPr="00BB7B0F">
              <w:rPr>
                <w:rFonts w:ascii="Arial" w:hAnsi="Arial" w:cs="Arial"/>
                <w:b/>
                <w:sz w:val="20"/>
                <w:szCs w:val="20"/>
                <w:lang w:val="bs-Latn-BA" w:eastAsia="bs-Latn-BA"/>
              </w:rPr>
              <w:t>Dragan Zelić</w:t>
            </w:r>
            <w:r w:rsidR="00BB7B0F" w:rsidRPr="00BB7B0F">
              <w:rPr>
                <w:rFonts w:ascii="Arial" w:hAnsi="Arial" w:cs="Arial"/>
                <w:sz w:val="20"/>
                <w:szCs w:val="20"/>
                <w:lang w:val="bs-Latn-BA" w:eastAsia="bs-Latn-BA"/>
              </w:rPr>
              <w:t>, GONG Croatia</w:t>
            </w:r>
          </w:p>
          <w:p w:rsidR="00E90A36" w:rsidRPr="00BB7B0F" w:rsidRDefault="00E90A36" w:rsidP="00602430">
            <w:pPr>
              <w:pStyle w:val="ListParagraph"/>
              <w:spacing w:after="0" w:line="240" w:lineRule="auto"/>
              <w:ind w:left="284"/>
              <w:rPr>
                <w:rFonts w:ascii="Arial" w:hAnsi="Arial" w:cs="Arial"/>
                <w:sz w:val="20"/>
                <w:szCs w:val="20"/>
                <w:lang w:val="bs-Latn-BA" w:eastAsia="bs-Latn-BA"/>
              </w:rPr>
            </w:pPr>
          </w:p>
        </w:tc>
      </w:tr>
      <w:tr w:rsidR="00E90A36" w:rsidRPr="00BB7B0F" w:rsidTr="00602430">
        <w:trPr>
          <w:gridAfter w:val="1"/>
          <w:wAfter w:w="426" w:type="dxa"/>
        </w:trPr>
        <w:tc>
          <w:tcPr>
            <w:tcW w:w="1701" w:type="dxa"/>
          </w:tcPr>
          <w:p w:rsidR="00E90A36" w:rsidRPr="00BB7B0F" w:rsidRDefault="00E90A36" w:rsidP="00602430">
            <w:pPr>
              <w:spacing w:after="0" w:line="360" w:lineRule="auto"/>
              <w:jc w:val="right"/>
              <w:rPr>
                <w:rFonts w:ascii="Arial" w:hAnsi="Arial" w:cs="Arial"/>
                <w:b/>
                <w:sz w:val="20"/>
                <w:szCs w:val="20"/>
                <w:lang w:val="bs-Latn-BA" w:eastAsia="bs-Latn-BA"/>
              </w:rPr>
            </w:pPr>
            <w:r w:rsidRPr="00BB7B0F">
              <w:rPr>
                <w:rFonts w:ascii="Arial" w:hAnsi="Arial" w:cs="Arial"/>
                <w:b/>
                <w:sz w:val="20"/>
                <w:szCs w:val="20"/>
                <w:lang w:val="bs-Latn-BA" w:eastAsia="bs-Latn-BA"/>
              </w:rPr>
              <w:t>13:15 – 13:15</w:t>
            </w:r>
          </w:p>
        </w:tc>
        <w:tc>
          <w:tcPr>
            <w:tcW w:w="8931" w:type="dxa"/>
          </w:tcPr>
          <w:p w:rsidR="00E90A36" w:rsidRPr="00BB7B0F" w:rsidRDefault="00E90A36" w:rsidP="00602430">
            <w:pPr>
              <w:spacing w:after="0" w:line="360" w:lineRule="auto"/>
              <w:rPr>
                <w:rFonts w:ascii="Arial" w:hAnsi="Arial" w:cs="Arial"/>
                <w:i/>
                <w:sz w:val="20"/>
                <w:szCs w:val="20"/>
                <w:lang w:val="bs-Latn-BA" w:eastAsia="bs-Latn-BA"/>
              </w:rPr>
            </w:pPr>
            <w:r w:rsidRPr="00BB7B0F">
              <w:rPr>
                <w:rFonts w:ascii="Arial" w:hAnsi="Arial" w:cs="Arial"/>
                <w:sz w:val="20"/>
                <w:szCs w:val="20"/>
                <w:lang w:val="bs-Latn-BA" w:eastAsia="bs-Latn-BA"/>
              </w:rPr>
              <w:t>Dis</w:t>
            </w:r>
            <w:r w:rsidR="00BB7B0F" w:rsidRPr="00BB7B0F">
              <w:rPr>
                <w:rFonts w:ascii="Arial" w:hAnsi="Arial" w:cs="Arial"/>
                <w:sz w:val="20"/>
                <w:szCs w:val="20"/>
                <w:lang w:val="bs-Latn-BA" w:eastAsia="bs-Latn-BA"/>
              </w:rPr>
              <w:t>cussion and conclusions</w:t>
            </w:r>
          </w:p>
        </w:tc>
      </w:tr>
      <w:tr w:rsidR="00E90A36" w:rsidRPr="00BB7B0F" w:rsidTr="00602430">
        <w:trPr>
          <w:gridAfter w:val="1"/>
          <w:wAfter w:w="426" w:type="dxa"/>
        </w:trPr>
        <w:tc>
          <w:tcPr>
            <w:tcW w:w="1701" w:type="dxa"/>
          </w:tcPr>
          <w:p w:rsidR="00E90A36" w:rsidRPr="00BB7B0F" w:rsidRDefault="00E90A36" w:rsidP="00602430">
            <w:pPr>
              <w:spacing w:after="0" w:line="360" w:lineRule="auto"/>
              <w:jc w:val="right"/>
              <w:rPr>
                <w:rFonts w:ascii="Arial" w:hAnsi="Arial" w:cs="Arial"/>
                <w:b/>
                <w:sz w:val="20"/>
                <w:szCs w:val="20"/>
                <w:lang w:val="bs-Latn-BA" w:eastAsia="bs-Latn-BA"/>
              </w:rPr>
            </w:pPr>
            <w:r w:rsidRPr="00BB7B0F">
              <w:rPr>
                <w:rFonts w:ascii="Arial" w:hAnsi="Arial" w:cs="Arial"/>
                <w:b/>
                <w:sz w:val="20"/>
                <w:szCs w:val="20"/>
                <w:lang w:val="bs-Latn-BA" w:eastAsia="bs-Latn-BA"/>
              </w:rPr>
              <w:t>13:30</w:t>
            </w:r>
          </w:p>
        </w:tc>
        <w:tc>
          <w:tcPr>
            <w:tcW w:w="8931" w:type="dxa"/>
          </w:tcPr>
          <w:p w:rsidR="00E90A36" w:rsidRPr="00BB7B0F" w:rsidRDefault="00BB7B0F" w:rsidP="00602430">
            <w:pPr>
              <w:spacing w:after="0" w:line="360" w:lineRule="auto"/>
              <w:rPr>
                <w:rFonts w:ascii="Arial" w:hAnsi="Arial" w:cs="Arial"/>
                <w:sz w:val="20"/>
                <w:szCs w:val="20"/>
                <w:lang w:val="bs-Latn-BA" w:eastAsia="bs-Latn-BA"/>
              </w:rPr>
            </w:pPr>
            <w:r w:rsidRPr="00BB7B0F">
              <w:rPr>
                <w:rFonts w:ascii="Arial" w:hAnsi="Arial" w:cs="Arial"/>
                <w:sz w:val="20"/>
                <w:szCs w:val="20"/>
                <w:lang w:val="bs-Latn-BA" w:eastAsia="bs-Latn-BA"/>
              </w:rPr>
              <w:t>Lunch</w:t>
            </w:r>
          </w:p>
        </w:tc>
      </w:tr>
    </w:tbl>
    <w:p w:rsidR="00E90A36" w:rsidRPr="00BB7B0F" w:rsidRDefault="00E90A36" w:rsidP="00E90A36">
      <w:pPr>
        <w:spacing w:after="0"/>
        <w:rPr>
          <w:rFonts w:ascii="Arial" w:hAnsi="Arial" w:cs="Arial"/>
          <w:b/>
          <w:sz w:val="20"/>
          <w:szCs w:val="20"/>
          <w:lang w:val="bs-Latn-BA"/>
        </w:rPr>
      </w:pPr>
    </w:p>
    <w:p w:rsidR="00E90A36" w:rsidRPr="00BB7B0F" w:rsidRDefault="00E90A36" w:rsidP="00E90A36">
      <w:pPr>
        <w:spacing w:after="0"/>
        <w:rPr>
          <w:rFonts w:cs="Arial"/>
          <w:b/>
          <w:lang w:val="bs-Latn-BA"/>
        </w:rPr>
      </w:pPr>
    </w:p>
    <w:p w:rsidR="00CC07A2" w:rsidRPr="00BB7B0F" w:rsidRDefault="00CC07A2" w:rsidP="00E90A36">
      <w:pPr>
        <w:spacing w:after="0"/>
        <w:rPr>
          <w:rFonts w:cs="Arial"/>
          <w:b/>
          <w:lang w:val="bs-Latn-BA"/>
        </w:rPr>
      </w:pPr>
    </w:p>
    <w:p w:rsidR="00E90A36" w:rsidRPr="00BB7B0F" w:rsidRDefault="00E90A36" w:rsidP="00E90A36">
      <w:pPr>
        <w:spacing w:after="0"/>
        <w:rPr>
          <w:rFonts w:cs="Arial"/>
          <w:b/>
          <w:lang w:val="bs-Latn-BA"/>
        </w:rPr>
      </w:pPr>
    </w:p>
    <w:p w:rsidR="008E7827" w:rsidRPr="00BB7B0F" w:rsidRDefault="008E7827" w:rsidP="00E90A36">
      <w:pPr>
        <w:spacing w:after="0"/>
        <w:rPr>
          <w:rFonts w:cs="Arial"/>
          <w:b/>
          <w:lang w:val="bs-Latn-BA"/>
        </w:rPr>
      </w:pPr>
    </w:p>
    <w:p w:rsidR="008E7827" w:rsidRPr="00BB7B0F" w:rsidRDefault="008E7827" w:rsidP="00E90A36">
      <w:pPr>
        <w:spacing w:after="0"/>
        <w:rPr>
          <w:rFonts w:cs="Arial"/>
          <w:b/>
          <w:lang w:val="bs-Latn-BA"/>
        </w:rPr>
      </w:pPr>
    </w:p>
    <w:p w:rsidR="008E7827" w:rsidRPr="00BB7B0F" w:rsidRDefault="008E7827" w:rsidP="00E90A36">
      <w:pPr>
        <w:spacing w:after="0"/>
        <w:rPr>
          <w:rFonts w:cs="Arial"/>
          <w:b/>
          <w:lang w:val="bs-Latn-BA"/>
        </w:rPr>
      </w:pPr>
    </w:p>
    <w:p w:rsidR="008E7827" w:rsidRPr="00BB7B0F" w:rsidRDefault="008E7827" w:rsidP="00E90A36">
      <w:pPr>
        <w:spacing w:after="0"/>
        <w:rPr>
          <w:rFonts w:cs="Arial"/>
          <w:b/>
          <w:lang w:val="bs-Latn-BA"/>
        </w:rPr>
      </w:pPr>
    </w:p>
    <w:p w:rsidR="00E90A36" w:rsidRPr="00BB7B0F" w:rsidRDefault="00CC07A2" w:rsidP="00E90A36">
      <w:pPr>
        <w:spacing w:after="0"/>
        <w:rPr>
          <w:rFonts w:cs="Arial"/>
          <w:b/>
          <w:lang w:val="bs-Latn-BA"/>
        </w:rPr>
      </w:pPr>
      <w:r w:rsidRPr="00BB7B0F">
        <w:rPr>
          <w:rFonts w:cs="Arial"/>
          <w:b/>
          <w:noProof/>
          <w:lang w:val="bs-Latn-BA" w:eastAsia="bs-Latn-BA"/>
        </w:rPr>
        <w:drawing>
          <wp:anchor distT="0" distB="0" distL="114300" distR="114300" simplePos="0" relativeHeight="251681792" behindDoc="1" locked="0" layoutInCell="1" allowOverlap="1">
            <wp:simplePos x="0" y="0"/>
            <wp:positionH relativeFrom="column">
              <wp:posOffset>3800475</wp:posOffset>
            </wp:positionH>
            <wp:positionV relativeFrom="paragraph">
              <wp:posOffset>99695</wp:posOffset>
            </wp:positionV>
            <wp:extent cx="1266825" cy="4070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i-logo-64.png"/>
                    <pic:cNvPicPr/>
                  </pic:nvPicPr>
                  <pic:blipFill>
                    <a:blip r:embed="rId7">
                      <a:extLst>
                        <a:ext uri="{28A0092B-C50C-407E-A947-70E740481C1C}">
                          <a14:useLocalDpi xmlns:a14="http://schemas.microsoft.com/office/drawing/2010/main" val="0"/>
                        </a:ext>
                      </a:extLst>
                    </a:blip>
                    <a:stretch>
                      <a:fillRect/>
                    </a:stretch>
                  </pic:blipFill>
                  <pic:spPr>
                    <a:xfrm>
                      <a:off x="0" y="0"/>
                      <a:ext cx="1266825" cy="407035"/>
                    </a:xfrm>
                    <a:prstGeom prst="rect">
                      <a:avLst/>
                    </a:prstGeom>
                  </pic:spPr>
                </pic:pic>
              </a:graphicData>
            </a:graphic>
          </wp:anchor>
        </w:drawing>
      </w:r>
      <w:r w:rsidRPr="00BB7B0F">
        <w:rPr>
          <w:rFonts w:cs="Arial"/>
          <w:b/>
          <w:noProof/>
          <w:lang w:val="bs-Latn-BA" w:eastAsia="bs-Latn-BA"/>
        </w:rPr>
        <w:drawing>
          <wp:anchor distT="0" distB="0" distL="114300" distR="114300" simplePos="0" relativeHeight="251679744" behindDoc="1" locked="0" layoutInCell="1" allowOverlap="1">
            <wp:simplePos x="0" y="0"/>
            <wp:positionH relativeFrom="column">
              <wp:posOffset>5467350</wp:posOffset>
            </wp:positionH>
            <wp:positionV relativeFrom="paragraph">
              <wp:posOffset>111125</wp:posOffset>
            </wp:positionV>
            <wp:extent cx="828675" cy="422910"/>
            <wp:effectExtent l="0" t="0" r="9525" b="0"/>
            <wp:wrapTight wrapText="bothSides">
              <wp:wrapPolygon edited="0">
                <wp:start x="0" y="0"/>
                <wp:lineTo x="0" y="20432"/>
                <wp:lineTo x="21352" y="20432"/>
                <wp:lineTo x="213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422910"/>
                    </a:xfrm>
                    <a:prstGeom prst="rect">
                      <a:avLst/>
                    </a:prstGeom>
                    <a:noFill/>
                    <a:ln>
                      <a:noFill/>
                    </a:ln>
                  </pic:spPr>
                </pic:pic>
              </a:graphicData>
            </a:graphic>
          </wp:anchor>
        </w:drawing>
      </w:r>
      <w:r w:rsidRPr="00BB7B0F">
        <w:rPr>
          <w:rFonts w:cs="Arial"/>
          <w:b/>
          <w:noProof/>
          <w:lang w:val="bs-Latn-BA" w:eastAsia="bs-Latn-BA"/>
        </w:rPr>
        <w:drawing>
          <wp:anchor distT="0" distB="0" distL="114300" distR="114300" simplePos="0" relativeHeight="251678720" behindDoc="1" locked="0" layoutInCell="1" allowOverlap="1">
            <wp:simplePos x="0" y="0"/>
            <wp:positionH relativeFrom="column">
              <wp:posOffset>2038985</wp:posOffset>
            </wp:positionH>
            <wp:positionV relativeFrom="paragraph">
              <wp:posOffset>142240</wp:posOffset>
            </wp:positionV>
            <wp:extent cx="1226185" cy="405765"/>
            <wp:effectExtent l="0" t="0" r="0" b="0"/>
            <wp:wrapTight wrapText="bothSides">
              <wp:wrapPolygon edited="0">
                <wp:start x="0" y="0"/>
                <wp:lineTo x="0" y="20282"/>
                <wp:lineTo x="21141" y="20282"/>
                <wp:lineTo x="211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1812" t="35822" r="22491" b="31343"/>
                    <a:stretch>
                      <a:fillRect/>
                    </a:stretch>
                  </pic:blipFill>
                  <pic:spPr bwMode="auto">
                    <a:xfrm>
                      <a:off x="0" y="0"/>
                      <a:ext cx="1226185" cy="405765"/>
                    </a:xfrm>
                    <a:prstGeom prst="rect">
                      <a:avLst/>
                    </a:prstGeom>
                    <a:noFill/>
                    <a:ln>
                      <a:noFill/>
                    </a:ln>
                  </pic:spPr>
                </pic:pic>
              </a:graphicData>
            </a:graphic>
          </wp:anchor>
        </w:drawing>
      </w:r>
      <w:r w:rsidRPr="00BB7B0F">
        <w:rPr>
          <w:rFonts w:cs="Arial"/>
          <w:b/>
          <w:noProof/>
          <w:lang w:val="bs-Latn-BA" w:eastAsia="bs-Latn-BA"/>
        </w:rPr>
        <w:drawing>
          <wp:anchor distT="0" distB="0" distL="114300" distR="114300" simplePos="0" relativeHeight="251680768" behindDoc="1" locked="0" layoutInCell="1" allowOverlap="1">
            <wp:simplePos x="0" y="0"/>
            <wp:positionH relativeFrom="margin">
              <wp:align>left</wp:align>
            </wp:positionH>
            <wp:positionV relativeFrom="paragraph">
              <wp:posOffset>116840</wp:posOffset>
            </wp:positionV>
            <wp:extent cx="1606588" cy="371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6588" cy="371475"/>
                    </a:xfrm>
                    <a:prstGeom prst="rect">
                      <a:avLst/>
                    </a:prstGeom>
                    <a:noFill/>
                    <a:ln>
                      <a:noFill/>
                    </a:ln>
                  </pic:spPr>
                </pic:pic>
              </a:graphicData>
            </a:graphic>
          </wp:anchor>
        </w:drawing>
      </w:r>
    </w:p>
    <w:p w:rsidR="00E90A36" w:rsidRPr="00BB7B0F" w:rsidRDefault="00E90A36" w:rsidP="00E90A36">
      <w:pPr>
        <w:pStyle w:val="PlainText"/>
        <w:rPr>
          <w:rFonts w:asciiTheme="minorHAnsi" w:hAnsiTheme="minorHAnsi"/>
          <w:sz w:val="16"/>
          <w:szCs w:val="16"/>
        </w:rPr>
      </w:pPr>
    </w:p>
    <w:p w:rsidR="00E90A36" w:rsidRPr="00BB7B0F" w:rsidRDefault="00E90A36" w:rsidP="00E90A36">
      <w:pPr>
        <w:pStyle w:val="PlainText"/>
        <w:rPr>
          <w:rFonts w:asciiTheme="minorHAnsi" w:hAnsiTheme="minorHAnsi"/>
          <w:sz w:val="16"/>
          <w:szCs w:val="16"/>
        </w:rPr>
      </w:pPr>
    </w:p>
    <w:p w:rsidR="00E90A36" w:rsidRPr="00BB7B0F" w:rsidRDefault="00E90A36" w:rsidP="00E90A36">
      <w:pPr>
        <w:pStyle w:val="PlainText"/>
        <w:rPr>
          <w:rFonts w:asciiTheme="minorHAnsi" w:hAnsiTheme="minorHAnsi"/>
          <w:sz w:val="16"/>
          <w:szCs w:val="16"/>
        </w:rPr>
      </w:pPr>
    </w:p>
    <w:p w:rsidR="00E90A36" w:rsidRPr="00BB7B0F" w:rsidRDefault="00BB7B0F" w:rsidP="00E90A36">
      <w:pPr>
        <w:pStyle w:val="PlainText"/>
        <w:rPr>
          <w:rFonts w:asciiTheme="minorHAnsi" w:hAnsiTheme="minorHAnsi"/>
          <w:sz w:val="16"/>
          <w:szCs w:val="16"/>
        </w:rPr>
      </w:pPr>
      <w:r>
        <w:rPr>
          <w:rFonts w:asciiTheme="minorHAnsi" w:hAnsiTheme="minorHAnsi"/>
          <w:sz w:val="16"/>
          <w:szCs w:val="16"/>
        </w:rPr>
        <w:t xml:space="preserve">Project „Open Government Partnership – Support the Open Government Partnership Initiative“ is financially supported by the Open Society Fund BiH </w:t>
      </w:r>
    </w:p>
    <w:p w:rsidR="00BF64ED" w:rsidRPr="00BB7B0F" w:rsidRDefault="00BF64ED" w:rsidP="00BF64ED">
      <w:pPr>
        <w:pStyle w:val="PlainText"/>
        <w:rPr>
          <w:rFonts w:asciiTheme="minorHAnsi" w:hAnsiTheme="minorHAnsi"/>
          <w:sz w:val="16"/>
          <w:szCs w:val="16"/>
        </w:rPr>
      </w:pPr>
    </w:p>
    <w:sectPr w:rsidR="00BF64ED" w:rsidRPr="00BB7B0F" w:rsidSect="008B132F">
      <w:headerReference w:type="default" r:id="rId11"/>
      <w:footerReference w:type="default" r:id="rId12"/>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FE" w:rsidRDefault="00143FFE" w:rsidP="008B132F">
      <w:pPr>
        <w:spacing w:after="0" w:line="240" w:lineRule="auto"/>
      </w:pPr>
      <w:r>
        <w:separator/>
      </w:r>
    </w:p>
  </w:endnote>
  <w:endnote w:type="continuationSeparator" w:id="0">
    <w:p w:rsidR="00143FFE" w:rsidRDefault="00143FFE"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FF1ED6" w:rsidP="00FF08B4">
    <w:pPr>
      <w:pStyle w:val="Footer"/>
      <w:tabs>
        <w:tab w:val="left" w:pos="630"/>
      </w:tabs>
    </w:pPr>
    <w:r>
      <w:rPr>
        <w:noProof/>
        <w:lang w:val="bs-Latn-BA" w:eastAsia="bs-Latn-BA"/>
      </w:rPr>
      <w:drawing>
        <wp:anchor distT="0" distB="0" distL="114300" distR="114300" simplePos="0" relativeHeight="251658240" behindDoc="1" locked="0" layoutInCell="1" allowOverlap="1">
          <wp:simplePos x="0" y="0"/>
          <wp:positionH relativeFrom="column">
            <wp:posOffset>-354850</wp:posOffset>
          </wp:positionH>
          <wp:positionV relativeFrom="paragraph">
            <wp:posOffset>-325755</wp:posOffset>
          </wp:positionV>
          <wp:extent cx="4584192" cy="737616"/>
          <wp:effectExtent l="0" t="0" r="6985" b="5715"/>
          <wp:wrapNone/>
          <wp:docPr id="6" name="Picture 1"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192" cy="73761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FE" w:rsidRDefault="00143FFE" w:rsidP="008B132F">
      <w:pPr>
        <w:spacing w:after="0" w:line="240" w:lineRule="auto"/>
      </w:pPr>
      <w:r>
        <w:separator/>
      </w:r>
    </w:p>
  </w:footnote>
  <w:footnote w:type="continuationSeparator" w:id="0">
    <w:p w:rsidR="00143FFE" w:rsidRDefault="00143FFE" w:rsidP="008B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47077D">
    <w:pPr>
      <w:pStyle w:val="Header"/>
    </w:pPr>
    <w:r>
      <w:rPr>
        <w:noProof/>
        <w:lang w:val="bs-Latn-BA" w:eastAsia="bs-Latn-BA"/>
      </w:rPr>
      <w:drawing>
        <wp:anchor distT="0" distB="0" distL="114300" distR="114300" simplePos="0" relativeHeight="251660288" behindDoc="1" locked="0" layoutInCell="1" allowOverlap="1">
          <wp:simplePos x="0" y="0"/>
          <wp:positionH relativeFrom="column">
            <wp:posOffset>4267200</wp:posOffset>
          </wp:positionH>
          <wp:positionV relativeFrom="paragraph">
            <wp:posOffset>-173545</wp:posOffset>
          </wp:positionV>
          <wp:extent cx="2276475" cy="608965"/>
          <wp:effectExtent l="0" t="0" r="9525" b="635"/>
          <wp:wrapTight wrapText="bothSides">
            <wp:wrapPolygon edited="0">
              <wp:start x="0" y="0"/>
              <wp:lineTo x="0" y="20947"/>
              <wp:lineTo x="21510" y="20947"/>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8965"/>
                  </a:xfrm>
                  <a:prstGeom prst="rect">
                    <a:avLst/>
                  </a:prstGeom>
                  <a:noFill/>
                  <a:ln>
                    <a:noFill/>
                  </a:ln>
                </pic:spPr>
              </pic:pic>
            </a:graphicData>
          </a:graphic>
        </wp:anchor>
      </w:drawing>
    </w:r>
    <w:r w:rsidR="008B132F">
      <w:rPr>
        <w:noProof/>
        <w:lang w:val="bs-Latn-BA" w:eastAsia="bs-Latn-BA"/>
      </w:rPr>
      <w:drawing>
        <wp:inline distT="0" distB="0" distL="0" distR="0">
          <wp:extent cx="1849507" cy="459969"/>
          <wp:effectExtent l="19050" t="0" r="0" b="0"/>
          <wp:docPr id="5"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2"/>
                  <a:stretch>
                    <a:fillRect/>
                  </a:stretch>
                </pic:blipFill>
                <pic:spPr>
                  <a:xfrm>
                    <a:off x="0" y="0"/>
                    <a:ext cx="1856222" cy="4616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DAC3A6D"/>
    <w:multiLevelType w:val="hybridMultilevel"/>
    <w:tmpl w:val="37CE58E2"/>
    <w:lvl w:ilvl="0" w:tplc="141A000F">
      <w:start w:val="1"/>
      <w:numFmt w:val="decimal"/>
      <w:lvlText w:val="%1."/>
      <w:lvlJc w:val="left"/>
      <w:pPr>
        <w:ind w:left="928"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1312F06"/>
    <w:multiLevelType w:val="hybridMultilevel"/>
    <w:tmpl w:val="513602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2FA3A3E"/>
    <w:multiLevelType w:val="hybridMultilevel"/>
    <w:tmpl w:val="3D82F2EA"/>
    <w:lvl w:ilvl="0" w:tplc="141A0001">
      <w:start w:val="1"/>
      <w:numFmt w:val="bullet"/>
      <w:lvlText w:val=""/>
      <w:lvlJc w:val="left"/>
      <w:pPr>
        <w:ind w:left="754" w:hanging="360"/>
      </w:pPr>
      <w:rPr>
        <w:rFonts w:ascii="Symbol" w:hAnsi="Symbol" w:hint="default"/>
      </w:rPr>
    </w:lvl>
    <w:lvl w:ilvl="1" w:tplc="141A0003" w:tentative="1">
      <w:start w:val="1"/>
      <w:numFmt w:val="bullet"/>
      <w:lvlText w:val="o"/>
      <w:lvlJc w:val="left"/>
      <w:pPr>
        <w:ind w:left="1474" w:hanging="360"/>
      </w:pPr>
      <w:rPr>
        <w:rFonts w:ascii="Courier New" w:hAnsi="Courier New" w:cs="Courier New" w:hint="default"/>
      </w:rPr>
    </w:lvl>
    <w:lvl w:ilvl="2" w:tplc="141A0005" w:tentative="1">
      <w:start w:val="1"/>
      <w:numFmt w:val="bullet"/>
      <w:lvlText w:val=""/>
      <w:lvlJc w:val="left"/>
      <w:pPr>
        <w:ind w:left="2194" w:hanging="360"/>
      </w:pPr>
      <w:rPr>
        <w:rFonts w:ascii="Wingdings" w:hAnsi="Wingdings" w:hint="default"/>
      </w:rPr>
    </w:lvl>
    <w:lvl w:ilvl="3" w:tplc="141A0001" w:tentative="1">
      <w:start w:val="1"/>
      <w:numFmt w:val="bullet"/>
      <w:lvlText w:val=""/>
      <w:lvlJc w:val="left"/>
      <w:pPr>
        <w:ind w:left="2914" w:hanging="360"/>
      </w:pPr>
      <w:rPr>
        <w:rFonts w:ascii="Symbol" w:hAnsi="Symbol" w:hint="default"/>
      </w:rPr>
    </w:lvl>
    <w:lvl w:ilvl="4" w:tplc="141A0003" w:tentative="1">
      <w:start w:val="1"/>
      <w:numFmt w:val="bullet"/>
      <w:lvlText w:val="o"/>
      <w:lvlJc w:val="left"/>
      <w:pPr>
        <w:ind w:left="3634" w:hanging="360"/>
      </w:pPr>
      <w:rPr>
        <w:rFonts w:ascii="Courier New" w:hAnsi="Courier New" w:cs="Courier New" w:hint="default"/>
      </w:rPr>
    </w:lvl>
    <w:lvl w:ilvl="5" w:tplc="141A0005" w:tentative="1">
      <w:start w:val="1"/>
      <w:numFmt w:val="bullet"/>
      <w:lvlText w:val=""/>
      <w:lvlJc w:val="left"/>
      <w:pPr>
        <w:ind w:left="4354" w:hanging="360"/>
      </w:pPr>
      <w:rPr>
        <w:rFonts w:ascii="Wingdings" w:hAnsi="Wingdings" w:hint="default"/>
      </w:rPr>
    </w:lvl>
    <w:lvl w:ilvl="6" w:tplc="141A0001" w:tentative="1">
      <w:start w:val="1"/>
      <w:numFmt w:val="bullet"/>
      <w:lvlText w:val=""/>
      <w:lvlJc w:val="left"/>
      <w:pPr>
        <w:ind w:left="5074" w:hanging="360"/>
      </w:pPr>
      <w:rPr>
        <w:rFonts w:ascii="Symbol" w:hAnsi="Symbol" w:hint="default"/>
      </w:rPr>
    </w:lvl>
    <w:lvl w:ilvl="7" w:tplc="141A0003" w:tentative="1">
      <w:start w:val="1"/>
      <w:numFmt w:val="bullet"/>
      <w:lvlText w:val="o"/>
      <w:lvlJc w:val="left"/>
      <w:pPr>
        <w:ind w:left="5794" w:hanging="360"/>
      </w:pPr>
      <w:rPr>
        <w:rFonts w:ascii="Courier New" w:hAnsi="Courier New" w:cs="Courier New" w:hint="default"/>
      </w:rPr>
    </w:lvl>
    <w:lvl w:ilvl="8" w:tplc="141A0005" w:tentative="1">
      <w:start w:val="1"/>
      <w:numFmt w:val="bullet"/>
      <w:lvlText w:val=""/>
      <w:lvlJc w:val="left"/>
      <w:pPr>
        <w:ind w:left="6514" w:hanging="360"/>
      </w:pPr>
      <w:rPr>
        <w:rFonts w:ascii="Wingdings" w:hAnsi="Wingdings" w:hint="default"/>
      </w:rPr>
    </w:lvl>
  </w:abstractNum>
  <w:abstractNum w:abstractNumId="4" w15:restartNumberingAfterBreak="0">
    <w:nsid w:val="7D7F363A"/>
    <w:multiLevelType w:val="hybridMultilevel"/>
    <w:tmpl w:val="C1A802FC"/>
    <w:lvl w:ilvl="0" w:tplc="AEA0E278">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F"/>
    <w:rsid w:val="000375D9"/>
    <w:rsid w:val="00081E6B"/>
    <w:rsid w:val="000A5787"/>
    <w:rsid w:val="000B38DB"/>
    <w:rsid w:val="000C53FF"/>
    <w:rsid w:val="000D6080"/>
    <w:rsid w:val="001022F7"/>
    <w:rsid w:val="00102B55"/>
    <w:rsid w:val="001251E9"/>
    <w:rsid w:val="00143FFE"/>
    <w:rsid w:val="00144BAA"/>
    <w:rsid w:val="0015665C"/>
    <w:rsid w:val="001704DE"/>
    <w:rsid w:val="001721D5"/>
    <w:rsid w:val="00195287"/>
    <w:rsid w:val="001B39CA"/>
    <w:rsid w:val="001E07C2"/>
    <w:rsid w:val="00200534"/>
    <w:rsid w:val="002133C3"/>
    <w:rsid w:val="002142B6"/>
    <w:rsid w:val="00226C09"/>
    <w:rsid w:val="00245861"/>
    <w:rsid w:val="00254603"/>
    <w:rsid w:val="00270F96"/>
    <w:rsid w:val="00291306"/>
    <w:rsid w:val="00291AD5"/>
    <w:rsid w:val="00294A48"/>
    <w:rsid w:val="002C1838"/>
    <w:rsid w:val="00300273"/>
    <w:rsid w:val="003058E4"/>
    <w:rsid w:val="0031029A"/>
    <w:rsid w:val="00333197"/>
    <w:rsid w:val="00361460"/>
    <w:rsid w:val="003B1CAA"/>
    <w:rsid w:val="003B418B"/>
    <w:rsid w:val="003C0737"/>
    <w:rsid w:val="003C204A"/>
    <w:rsid w:val="003C744D"/>
    <w:rsid w:val="003D0691"/>
    <w:rsid w:val="003D3352"/>
    <w:rsid w:val="003E73AA"/>
    <w:rsid w:val="0040036B"/>
    <w:rsid w:val="00402B90"/>
    <w:rsid w:val="004338C6"/>
    <w:rsid w:val="00445E0C"/>
    <w:rsid w:val="0047077D"/>
    <w:rsid w:val="00481ABB"/>
    <w:rsid w:val="00484CDE"/>
    <w:rsid w:val="00494711"/>
    <w:rsid w:val="004954B7"/>
    <w:rsid w:val="004A28C2"/>
    <w:rsid w:val="004C76A5"/>
    <w:rsid w:val="005125F9"/>
    <w:rsid w:val="00533238"/>
    <w:rsid w:val="005603D4"/>
    <w:rsid w:val="00593AFE"/>
    <w:rsid w:val="005C7DD2"/>
    <w:rsid w:val="005D25DC"/>
    <w:rsid w:val="00646972"/>
    <w:rsid w:val="006F5F76"/>
    <w:rsid w:val="006F614C"/>
    <w:rsid w:val="006F6CC7"/>
    <w:rsid w:val="00704C8F"/>
    <w:rsid w:val="007146E8"/>
    <w:rsid w:val="00715DF4"/>
    <w:rsid w:val="007346C2"/>
    <w:rsid w:val="00746633"/>
    <w:rsid w:val="007566E7"/>
    <w:rsid w:val="00775DF7"/>
    <w:rsid w:val="00790AC1"/>
    <w:rsid w:val="007B4AA6"/>
    <w:rsid w:val="007B58E9"/>
    <w:rsid w:val="007D479E"/>
    <w:rsid w:val="007E673D"/>
    <w:rsid w:val="007F0594"/>
    <w:rsid w:val="007F4D99"/>
    <w:rsid w:val="00812391"/>
    <w:rsid w:val="00820088"/>
    <w:rsid w:val="00832158"/>
    <w:rsid w:val="00832A9E"/>
    <w:rsid w:val="00841159"/>
    <w:rsid w:val="00866532"/>
    <w:rsid w:val="008845E1"/>
    <w:rsid w:val="008A374F"/>
    <w:rsid w:val="008B132F"/>
    <w:rsid w:val="008D09F9"/>
    <w:rsid w:val="008D7060"/>
    <w:rsid w:val="008E4BF0"/>
    <w:rsid w:val="008E7827"/>
    <w:rsid w:val="00907A22"/>
    <w:rsid w:val="009302B2"/>
    <w:rsid w:val="00935DDF"/>
    <w:rsid w:val="00984AC8"/>
    <w:rsid w:val="00985499"/>
    <w:rsid w:val="009B704B"/>
    <w:rsid w:val="009B7F9E"/>
    <w:rsid w:val="009F44CB"/>
    <w:rsid w:val="00A11397"/>
    <w:rsid w:val="00A12DE4"/>
    <w:rsid w:val="00A417FC"/>
    <w:rsid w:val="00A630C4"/>
    <w:rsid w:val="00A67187"/>
    <w:rsid w:val="00A73384"/>
    <w:rsid w:val="00AD264A"/>
    <w:rsid w:val="00AE3B92"/>
    <w:rsid w:val="00B229E7"/>
    <w:rsid w:val="00B472FB"/>
    <w:rsid w:val="00B630DF"/>
    <w:rsid w:val="00B7216B"/>
    <w:rsid w:val="00B8230B"/>
    <w:rsid w:val="00B900FF"/>
    <w:rsid w:val="00B92921"/>
    <w:rsid w:val="00BA1032"/>
    <w:rsid w:val="00BA3F38"/>
    <w:rsid w:val="00BA4E79"/>
    <w:rsid w:val="00BA604F"/>
    <w:rsid w:val="00BB550D"/>
    <w:rsid w:val="00BB7B0F"/>
    <w:rsid w:val="00BC41AC"/>
    <w:rsid w:val="00BD5475"/>
    <w:rsid w:val="00BF64ED"/>
    <w:rsid w:val="00C11BD3"/>
    <w:rsid w:val="00C15E19"/>
    <w:rsid w:val="00C26EB4"/>
    <w:rsid w:val="00C3483F"/>
    <w:rsid w:val="00C840AB"/>
    <w:rsid w:val="00C8605C"/>
    <w:rsid w:val="00CB04A2"/>
    <w:rsid w:val="00CC07A2"/>
    <w:rsid w:val="00CD5C01"/>
    <w:rsid w:val="00CE31C9"/>
    <w:rsid w:val="00CE608C"/>
    <w:rsid w:val="00CF0AC8"/>
    <w:rsid w:val="00CF3700"/>
    <w:rsid w:val="00D01248"/>
    <w:rsid w:val="00D142FC"/>
    <w:rsid w:val="00D41BBB"/>
    <w:rsid w:val="00D465BE"/>
    <w:rsid w:val="00D75947"/>
    <w:rsid w:val="00DA1F63"/>
    <w:rsid w:val="00DA50AD"/>
    <w:rsid w:val="00DE1C81"/>
    <w:rsid w:val="00E0446C"/>
    <w:rsid w:val="00E069D1"/>
    <w:rsid w:val="00E67AEC"/>
    <w:rsid w:val="00E90A36"/>
    <w:rsid w:val="00E96BF8"/>
    <w:rsid w:val="00EB4FBD"/>
    <w:rsid w:val="00EC347C"/>
    <w:rsid w:val="00EC5023"/>
    <w:rsid w:val="00ED7629"/>
    <w:rsid w:val="00ED774A"/>
    <w:rsid w:val="00EF2BD2"/>
    <w:rsid w:val="00EF3A9A"/>
    <w:rsid w:val="00F35914"/>
    <w:rsid w:val="00F85E1B"/>
    <w:rsid w:val="00F97DA2"/>
    <w:rsid w:val="00FD298D"/>
    <w:rsid w:val="00FF08B4"/>
    <w:rsid w:val="00FF1ED6"/>
    <w:rsid w:val="00FF3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EB83C-2248-4DBF-85C2-8F53E1B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BD"/>
  </w:style>
  <w:style w:type="paragraph" w:styleId="Heading2">
    <w:name w:val="heading 2"/>
    <w:basedOn w:val="Normal"/>
    <w:next w:val="Normal"/>
    <w:link w:val="Heading2Char"/>
    <w:unhideWhenUsed/>
    <w:qFormat/>
    <w:rsid w:val="0047077D"/>
    <w:pPr>
      <w:keepNext/>
      <w:spacing w:before="240" w:after="60" w:line="240" w:lineRule="auto"/>
      <w:jc w:val="both"/>
      <w:outlineLvl w:val="1"/>
    </w:pPr>
    <w:rPr>
      <w:rFonts w:ascii="Calibri Light" w:eastAsia="Times New Roman" w:hAnsi="Calibri Light" w:cs="Times New Roman"/>
      <w:b/>
      <w:bCs/>
      <w:i/>
      <w:i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paragraph" w:styleId="PlainText">
    <w:name w:val="Plain Text"/>
    <w:basedOn w:val="Normal"/>
    <w:link w:val="PlainTextChar"/>
    <w:uiPriority w:val="99"/>
    <w:unhideWhenUsed/>
    <w:rsid w:val="006F6CC7"/>
    <w:pPr>
      <w:spacing w:after="0" w:line="240" w:lineRule="auto"/>
    </w:pPr>
    <w:rPr>
      <w:rFonts w:ascii="Calibri" w:eastAsia="Calibri" w:hAnsi="Calibri" w:cs="Times New Roman"/>
      <w:szCs w:val="21"/>
      <w:lang w:val="bs-Latn-BA"/>
    </w:rPr>
  </w:style>
  <w:style w:type="character" w:customStyle="1" w:styleId="PlainTextChar">
    <w:name w:val="Plain Text Char"/>
    <w:basedOn w:val="DefaultParagraphFont"/>
    <w:link w:val="PlainText"/>
    <w:uiPriority w:val="99"/>
    <w:rsid w:val="006F6CC7"/>
    <w:rPr>
      <w:rFonts w:ascii="Calibri" w:eastAsia="Calibri" w:hAnsi="Calibri" w:cs="Times New Roman"/>
      <w:szCs w:val="21"/>
      <w:lang w:val="bs-Latn-BA"/>
    </w:rPr>
  </w:style>
  <w:style w:type="character" w:customStyle="1" w:styleId="Heading2Char">
    <w:name w:val="Heading 2 Char"/>
    <w:basedOn w:val="DefaultParagraphFont"/>
    <w:link w:val="Heading2"/>
    <w:rsid w:val="0047077D"/>
    <w:rPr>
      <w:rFonts w:ascii="Calibri Light" w:eastAsia="Times New Roman" w:hAnsi="Calibri Light" w:cs="Times New Roman"/>
      <w:b/>
      <w:bCs/>
      <w:i/>
      <w:iCs/>
      <w:spacing w:val="-5"/>
      <w:sz w:val="28"/>
      <w:szCs w:val="28"/>
    </w:rPr>
  </w:style>
  <w:style w:type="character" w:styleId="Hyperlink">
    <w:name w:val="Hyperlink"/>
    <w:rsid w:val="0047077D"/>
    <w:rPr>
      <w:color w:val="0000FF"/>
      <w:u w:val="single"/>
    </w:rPr>
  </w:style>
  <w:style w:type="character" w:customStyle="1" w:styleId="tekst">
    <w:name w:val="tekst"/>
    <w:basedOn w:val="DefaultParagraphFont"/>
    <w:rsid w:val="00832A9E"/>
  </w:style>
  <w:style w:type="paragraph" w:styleId="ListParagraph">
    <w:name w:val="List Paragraph"/>
    <w:basedOn w:val="Normal"/>
    <w:uiPriority w:val="34"/>
    <w:qFormat/>
    <w:rsid w:val="00245861"/>
    <w:pPr>
      <w:ind w:left="720"/>
      <w:contextualSpacing/>
    </w:pPr>
  </w:style>
  <w:style w:type="character" w:styleId="Emphasis">
    <w:name w:val="Emphasis"/>
    <w:basedOn w:val="DefaultParagraphFont"/>
    <w:uiPriority w:val="20"/>
    <w:qFormat/>
    <w:rsid w:val="005125F9"/>
    <w:rPr>
      <w:i/>
      <w:iCs/>
    </w:rPr>
  </w:style>
  <w:style w:type="character" w:customStyle="1" w:styleId="apple-converted-space">
    <w:name w:val="apple-converted-space"/>
    <w:basedOn w:val="DefaultParagraphFont"/>
    <w:rsid w:val="00AD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dc:creator>
  <cp:lastModifiedBy>dkolundzija</cp:lastModifiedBy>
  <cp:revision>2</cp:revision>
  <cp:lastPrinted>2016-06-14T12:52:00Z</cp:lastPrinted>
  <dcterms:created xsi:type="dcterms:W3CDTF">2016-06-21T08:48:00Z</dcterms:created>
  <dcterms:modified xsi:type="dcterms:W3CDTF">2016-06-21T08:48:00Z</dcterms:modified>
</cp:coreProperties>
</file>