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D" w:rsidRDefault="0047077D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7D479E" w:rsidRDefault="007D479E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291306" w:rsidRPr="00291306" w:rsidRDefault="00291306" w:rsidP="00291306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91306">
        <w:rPr>
          <w:rFonts w:ascii="Arial" w:hAnsi="Arial" w:cs="Arial"/>
          <w:b/>
          <w:sz w:val="20"/>
          <w:szCs w:val="20"/>
          <w:lang w:val="de-DE"/>
        </w:rPr>
        <w:t>Datum: 20.06.2016.</w:t>
      </w:r>
    </w:p>
    <w:p w:rsidR="00291306" w:rsidRPr="00291306" w:rsidRDefault="00291306" w:rsidP="00291306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de-DE"/>
        </w:rPr>
      </w:pPr>
      <w:r w:rsidRPr="00291306">
        <w:rPr>
          <w:rFonts w:ascii="Arial" w:hAnsi="Arial" w:cs="Arial"/>
          <w:b/>
          <w:sz w:val="20"/>
          <w:szCs w:val="20"/>
          <w:lang w:val="de-DE"/>
        </w:rPr>
        <w:t>Broj: 06-01/534</w:t>
      </w:r>
      <w:r w:rsidRPr="00291306">
        <w:rPr>
          <w:rFonts w:ascii="Arial" w:hAnsi="Arial" w:cs="Arial"/>
          <w:sz w:val="20"/>
          <w:szCs w:val="20"/>
          <w:lang w:val="de-DE"/>
        </w:rPr>
        <w:t xml:space="preserve">                   </w:t>
      </w:r>
    </w:p>
    <w:p w:rsidR="00291306" w:rsidRPr="00291306" w:rsidRDefault="00291306" w:rsidP="00291306">
      <w:pPr>
        <w:jc w:val="right"/>
        <w:rPr>
          <w:rFonts w:ascii="Arial" w:hAnsi="Arial" w:cs="Arial"/>
          <w:b/>
          <w:i/>
          <w:sz w:val="20"/>
          <w:szCs w:val="20"/>
          <w:u w:val="single"/>
          <w:lang w:val="de-DE"/>
        </w:rPr>
      </w:pPr>
      <w:r w:rsidRPr="00291306">
        <w:rPr>
          <w:rFonts w:ascii="Arial" w:hAnsi="Arial" w:cs="Arial"/>
          <w:b/>
          <w:i/>
          <w:sz w:val="20"/>
          <w:szCs w:val="20"/>
          <w:u w:val="single"/>
          <w:lang w:val="de-DE"/>
        </w:rPr>
        <w:t>Svim medijima – dostavlja se</w:t>
      </w:r>
    </w:p>
    <w:p w:rsidR="00291306" w:rsidRPr="00291306" w:rsidRDefault="00291306" w:rsidP="00291306">
      <w:pPr>
        <w:spacing w:before="240" w:line="240" w:lineRule="auto"/>
        <w:jc w:val="center"/>
        <w:rPr>
          <w:rFonts w:ascii="Arial" w:eastAsia="Times New Roman" w:hAnsi="Arial"/>
          <w:b/>
          <w:spacing w:val="-5"/>
          <w:sz w:val="24"/>
          <w:szCs w:val="24"/>
          <w:lang w:val="de-DE"/>
        </w:rPr>
      </w:pPr>
    </w:p>
    <w:p w:rsidR="00291306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0A4554" w:rsidRDefault="00291306" w:rsidP="0029130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lang w:val="bs-Latn-BA"/>
        </w:rPr>
      </w:pPr>
      <w:r w:rsidRPr="000A4554">
        <w:rPr>
          <w:rFonts w:ascii="Arial" w:eastAsia="Times New Roman" w:hAnsi="Arial" w:cs="Arial"/>
          <w:b/>
          <w:spacing w:val="-5"/>
          <w:lang w:val="bs-Latn-BA"/>
        </w:rPr>
        <w:t>TI BiH prezentuje regionalna iskustva u sklopu incijative Partnerstvo za otvorenu vlast</w:t>
      </w: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</w:pP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8E7827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Sarajevo, 20. juni 2016.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– Transparency International </w:t>
      </w:r>
      <w:r w:rsidR="00C26EB4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u Bosni i Hercegovini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(TIBiH), u 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hr-HR"/>
        </w:rPr>
        <w:t xml:space="preserve">saradnji sa koalicijom nevladinih organizacija zaduženim za 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inicijativu </w:t>
      </w:r>
      <w:r w:rsidRPr="008E7827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Partnerstvo za otvorenu vlast (Open Government Partnership – OGP),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organizuje konferenci</w:t>
      </w:r>
      <w:r w:rsidR="001721D5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ju na kojoj će biti prezentovana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iskustva zemalja iz regiona koje su članice iste inicijative, ali i rezultati rada civilnog društva na definisanju prijedloga mjera za prvi Akcioni plan BiH</w:t>
      </w:r>
      <w:r w:rsidR="00C26EB4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kojim se definišu nove politike otvorenosti i transparentnosti javnih institucija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. </w:t>
      </w: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1721D5" w:rsidRPr="008E7827" w:rsidRDefault="00D75947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bookmarkStart w:id="0" w:name="_GoBack"/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Konferencija se organizuje za institucije sa federalnog nivoa vlasti kako bi im se približili principi i standardi inicijative Partnerstvo za otvorenu vlast. </w:t>
      </w:r>
      <w:r w:rsidR="00291306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Na konferenciji će biti prezentovani i nalazi istraživanja u vezi sa procjenom spremnosti institucija Federacije BiH na otvorene podatke, tj. na praksu proaktivnog objavljivanja informacija, ali i planovi za daljnju saradnju organizacija civilnog društva sa federalnim institucijama. </w:t>
      </w:r>
    </w:p>
    <w:p w:rsidR="001721D5" w:rsidRPr="008E7827" w:rsidRDefault="001721D5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Ovom prilikom biće predstavljena i sama inicijativa Partnerst</w:t>
      </w:r>
      <w:r w:rsidR="001721D5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v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o za otv</w:t>
      </w:r>
      <w:r w:rsidR="001721D5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orenu vlast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i prednosti koje ona nudi,</w:t>
      </w:r>
      <w:r w:rsidR="001721D5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sa osvrtom na regionalna iskustva. P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osebno će se govoriti o</w:t>
      </w:r>
      <w:r w:rsidR="00D75947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načinima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unapređenja komunikacije s građanima s ciljem otvaranja vlasti rad jačanja transparentnosti i odgovornosti u njihovom radu što je i jedan od proklamovanih principa u Reformskoj agendi za BiH 2015-2018.     </w:t>
      </w: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8E7827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val="hr-HR"/>
        </w:rPr>
      </w:pP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Konferencija će se održati u </w:t>
      </w:r>
      <w:r w:rsidRPr="008E7827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utorak,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8E7827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21. juna 2016. godine, u Hotelu Europe u Sarajevu 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hr-HR"/>
        </w:rPr>
        <w:t>(Mezzanine sala)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8E7827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sa početkom u 11:00h. 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>Izjave</w:t>
      </w:r>
      <w:r w:rsidR="007B4AA6"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za medije su predviđene u 10:45</w:t>
      </w:r>
      <w:r w:rsidRPr="008E7827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h. </w:t>
      </w:r>
    </w:p>
    <w:p w:rsidR="006F6CC7" w:rsidRPr="008E7827" w:rsidRDefault="006F6CC7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bookmarkEnd w:id="0"/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1E07C2" w:rsidRPr="008E7827" w:rsidRDefault="001E07C2" w:rsidP="0047077D">
      <w:pPr>
        <w:pStyle w:val="PlainText"/>
        <w:rPr>
          <w:rFonts w:ascii="Arial" w:hAnsi="Arial" w:cs="Arial"/>
          <w:sz w:val="20"/>
          <w:szCs w:val="20"/>
        </w:rPr>
      </w:pPr>
    </w:p>
    <w:p w:rsidR="00B7216B" w:rsidRPr="008E7827" w:rsidRDefault="00B7216B" w:rsidP="00E90A3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</w:p>
    <w:p w:rsidR="00B7216B" w:rsidRPr="008E7827" w:rsidRDefault="00B7216B" w:rsidP="00E90A3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</w:p>
    <w:p w:rsidR="004A28C2" w:rsidRPr="008E7827" w:rsidRDefault="004A28C2" w:rsidP="00E90A3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</w:p>
    <w:p w:rsidR="00E90A36" w:rsidRPr="008E7827" w:rsidRDefault="00E90A36" w:rsidP="00E90A3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  <w:r w:rsidRPr="008E7827"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Konferencija: Partnerstvom za otvorenu vlast od vizije do akcije</w:t>
      </w:r>
    </w:p>
    <w:p w:rsidR="00E90A36" w:rsidRPr="008E7827" w:rsidRDefault="00E90A36" w:rsidP="00E90A36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8E7827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Sarajevo, 21.06.2016. godine</w:t>
      </w:r>
    </w:p>
    <w:p w:rsidR="00E90A36" w:rsidRPr="008E7827" w:rsidRDefault="00E90A36" w:rsidP="00E90A36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</w:pPr>
      <w:r w:rsidRPr="008E7827"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  <w:t>Hotel Europe, Vladislava Skarića 5, 71000 Sarajevo, BiH</w:t>
      </w:r>
    </w:p>
    <w:p w:rsidR="00E90A36" w:rsidRPr="008E7827" w:rsidRDefault="00E90A36" w:rsidP="00E90A36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8E7827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 xml:space="preserve">     </w:t>
      </w:r>
    </w:p>
    <w:p w:rsidR="00E90A36" w:rsidRPr="008E7827" w:rsidRDefault="00E90A36" w:rsidP="00E90A36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8E7827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Nacrt dnevnog red:</w:t>
      </w:r>
    </w:p>
    <w:p w:rsidR="00E90A36" w:rsidRPr="008E7827" w:rsidRDefault="00E90A36" w:rsidP="00E90A36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1701"/>
        <w:gridCol w:w="8931"/>
        <w:gridCol w:w="426"/>
      </w:tblGrid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10:30 – 11:00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Registracija učesnika/Izjave za medije</w:t>
            </w:r>
          </w:p>
        </w:tc>
      </w:tr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11:00 – 11:15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Uvodna obraćanja </w:t>
            </w:r>
          </w:p>
          <w:p w:rsidR="00E90A36" w:rsidRPr="008E7827" w:rsidRDefault="00E90A36" w:rsidP="006024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  <w:t xml:space="preserve">Lejla Ibranović, 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izvršna direktorica Transparency International BiH </w:t>
            </w:r>
          </w:p>
          <w:p w:rsidR="00E90A36" w:rsidRPr="008E7827" w:rsidRDefault="00AD264A" w:rsidP="006024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Kabinet</w:t>
            </w:r>
            <w:r w:rsidRPr="008E7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782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E90A36" w:rsidRPr="008E7827">
              <w:rPr>
                <w:rFonts w:ascii="Arial" w:eastAsia="Times New Roman" w:hAnsi="Arial" w:cs="Arial"/>
                <w:sz w:val="20"/>
                <w:szCs w:val="20"/>
              </w:rPr>
              <w:t>remijer</w:t>
            </w:r>
            <w:r w:rsidRPr="008E782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="00E90A36" w:rsidRPr="008E7827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  <w:r w:rsidR="00E90A36"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BiH</w:t>
            </w:r>
            <w:r w:rsidR="00E90A36" w:rsidRPr="008E7827">
              <w:rPr>
                <w:rFonts w:ascii="Arial" w:hAnsi="Arial" w:cs="Arial"/>
                <w:bCs/>
                <w:sz w:val="20"/>
                <w:szCs w:val="20"/>
                <w:lang w:val="bs-Latn-BA" w:eastAsia="bs-Latn-BA"/>
              </w:rPr>
              <w:t>, TBC</w:t>
            </w:r>
          </w:p>
          <w:p w:rsidR="00E90A36" w:rsidRPr="008E7827" w:rsidRDefault="00E90A36" w:rsidP="00A67187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E90A36" w:rsidRPr="008E7827" w:rsidTr="00602430">
        <w:tc>
          <w:tcPr>
            <w:tcW w:w="1701" w:type="dxa"/>
            <w:shd w:val="clear" w:color="auto" w:fill="auto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11:15 – 12:00</w:t>
            </w:r>
          </w:p>
        </w:tc>
        <w:tc>
          <w:tcPr>
            <w:tcW w:w="9357" w:type="dxa"/>
            <w:gridSpan w:val="2"/>
            <w:shd w:val="clear" w:color="auto" w:fill="auto"/>
          </w:tcPr>
          <w:p w:rsidR="00E90A36" w:rsidRPr="008E7827" w:rsidRDefault="00E90A36" w:rsidP="006024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8E7827"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  <w:t>Od vizije do akcije:</w:t>
            </w:r>
            <w:r w:rsidRPr="008E782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Zašto Partnerstvo za otvorenu vlast? </w:t>
            </w:r>
          </w:p>
          <w:p w:rsidR="00E90A36" w:rsidRPr="008E7827" w:rsidRDefault="00E90A36" w:rsidP="0060243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  <w:t>moderator: Elvira Mujkić, Transparency International BiH</w:t>
            </w:r>
          </w:p>
        </w:tc>
      </w:tr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931" w:type="dxa"/>
          </w:tcPr>
          <w:p w:rsidR="00E90A36" w:rsidRPr="008E7827" w:rsidRDefault="00E90A36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Goran Kučera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Ministarstvo pravde BiH</w:t>
            </w:r>
          </w:p>
          <w:p w:rsidR="00E90A36" w:rsidRPr="008E7827" w:rsidRDefault="00E90A36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Vedrana Faladžić</w:t>
            </w:r>
            <w:r w:rsidRPr="008E782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Ured</w:t>
            </w:r>
            <w:proofErr w:type="spellEnd"/>
            <w:r w:rsidRPr="008E7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koordinatora</w:t>
            </w:r>
            <w:proofErr w:type="spellEnd"/>
            <w:r w:rsidRPr="008E7827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reformu</w:t>
            </w:r>
            <w:proofErr w:type="spellEnd"/>
            <w:r w:rsidRPr="008E7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8E7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</w:p>
        </w:tc>
      </w:tr>
      <w:tr w:rsidR="00E90A36" w:rsidRPr="008E7827" w:rsidTr="00602430">
        <w:trPr>
          <w:gridAfter w:val="1"/>
          <w:wAfter w:w="426" w:type="dxa"/>
          <w:trHeight w:val="268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931" w:type="dxa"/>
          </w:tcPr>
          <w:p w:rsidR="00E90A36" w:rsidRPr="008E7827" w:rsidRDefault="00E90A36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Elma Demir, 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OGP istraživač za Bosnu i Hercegovinu</w:t>
            </w:r>
          </w:p>
          <w:p w:rsidR="00E90A36" w:rsidRPr="008E7827" w:rsidRDefault="00E90A36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Dina Bajramspahić, 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Institut Alternativa Crna Gora</w:t>
            </w:r>
          </w:p>
          <w:p w:rsidR="00E90A36" w:rsidRPr="008E7827" w:rsidRDefault="00E90A36" w:rsidP="00602430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E90A36" w:rsidRPr="008E7827" w:rsidTr="00602430">
        <w:trPr>
          <w:gridAfter w:val="1"/>
          <w:wAfter w:w="426" w:type="dxa"/>
          <w:trHeight w:val="468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12:00 – 12:10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827">
              <w:rPr>
                <w:rFonts w:ascii="Arial" w:hAnsi="Arial" w:cs="Arial"/>
                <w:sz w:val="20"/>
                <w:szCs w:val="20"/>
              </w:rPr>
              <w:t>Diskusija</w:t>
            </w:r>
            <w:proofErr w:type="spellEnd"/>
          </w:p>
        </w:tc>
      </w:tr>
      <w:tr w:rsidR="00E90A36" w:rsidRPr="008E7827" w:rsidTr="00602430">
        <w:trPr>
          <w:gridAfter w:val="1"/>
          <w:wAfter w:w="426" w:type="dxa"/>
          <w:trHeight w:val="468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12:10 – 12:30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7827">
              <w:rPr>
                <w:rFonts w:ascii="Arial" w:hAnsi="Arial" w:cs="Arial"/>
                <w:b/>
                <w:sz w:val="20"/>
                <w:szCs w:val="20"/>
              </w:rPr>
              <w:t>Kafe</w:t>
            </w:r>
            <w:proofErr w:type="spellEnd"/>
            <w:r w:rsidRPr="008E7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7827">
              <w:rPr>
                <w:rFonts w:ascii="Arial" w:hAnsi="Arial" w:cs="Arial"/>
                <w:b/>
                <w:sz w:val="20"/>
                <w:szCs w:val="20"/>
              </w:rPr>
              <w:t>pauza</w:t>
            </w:r>
            <w:proofErr w:type="spellEnd"/>
          </w:p>
        </w:tc>
      </w:tr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12:30 – 13:15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Partnerstvo za otvorenu vlast u BiH: Spremnost institucija </w:t>
            </w:r>
            <w:r w:rsidR="00984AC8"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FBiH i preporuke za unapređenje</w:t>
            </w:r>
          </w:p>
          <w:p w:rsidR="00E90A36" w:rsidRPr="008E7827" w:rsidRDefault="00E90A36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Elvira Mujkić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</w:t>
            </w:r>
            <w:r w:rsidRPr="008E782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Transparency International BiH </w:t>
            </w:r>
          </w:p>
          <w:p w:rsidR="00E90A36" w:rsidRPr="008E7827" w:rsidRDefault="00AD264A" w:rsidP="0060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Mirjana Sirćo</w:t>
            </w:r>
            <w:r w:rsidRPr="008E7827">
              <w:rPr>
                <w:rFonts w:ascii="Arial" w:hAnsi="Arial" w:cs="Arial"/>
                <w:sz w:val="20"/>
                <w:szCs w:val="20"/>
                <w:lang w:val="bs-Latn-BA"/>
              </w:rPr>
              <w:t>, Fondacija Centar za zastupanje građanskih interesa</w:t>
            </w:r>
          </w:p>
          <w:p w:rsidR="00AD264A" w:rsidRPr="008E7827" w:rsidRDefault="00AD264A" w:rsidP="00AD26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Dragan Zelić</w:t>
            </w: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GONG Hrvatska</w:t>
            </w:r>
            <w:r w:rsidRPr="008E7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0A36" w:rsidRPr="008E7827" w:rsidRDefault="00E90A36" w:rsidP="00602430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13:15 – 13:15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Diskusija i zaključci</w:t>
            </w:r>
          </w:p>
        </w:tc>
      </w:tr>
      <w:tr w:rsidR="00E90A36" w:rsidRPr="008E7827" w:rsidTr="00602430">
        <w:trPr>
          <w:gridAfter w:val="1"/>
          <w:wAfter w:w="426" w:type="dxa"/>
        </w:trPr>
        <w:tc>
          <w:tcPr>
            <w:tcW w:w="1701" w:type="dxa"/>
          </w:tcPr>
          <w:p w:rsidR="00E90A36" w:rsidRPr="008E7827" w:rsidRDefault="00E90A36" w:rsidP="00602430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13:30</w:t>
            </w:r>
          </w:p>
        </w:tc>
        <w:tc>
          <w:tcPr>
            <w:tcW w:w="8931" w:type="dxa"/>
          </w:tcPr>
          <w:p w:rsidR="00E90A36" w:rsidRPr="008E7827" w:rsidRDefault="00E90A36" w:rsidP="0060243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8E782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Ručak</w:t>
            </w:r>
          </w:p>
        </w:tc>
      </w:tr>
    </w:tbl>
    <w:p w:rsidR="00E90A36" w:rsidRPr="008E7827" w:rsidRDefault="00E90A36" w:rsidP="00E90A36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</w:p>
    <w:p w:rsidR="00E90A36" w:rsidRDefault="00E90A36" w:rsidP="00E90A36">
      <w:pPr>
        <w:spacing w:after="0"/>
        <w:rPr>
          <w:rFonts w:cs="Arial"/>
          <w:b/>
          <w:lang w:val="bs-Latn-BA"/>
        </w:rPr>
      </w:pPr>
    </w:p>
    <w:p w:rsidR="00CC07A2" w:rsidRDefault="00CC07A2" w:rsidP="00E90A36">
      <w:pPr>
        <w:spacing w:after="0"/>
        <w:rPr>
          <w:rFonts w:cs="Arial"/>
          <w:b/>
          <w:lang w:val="bs-Latn-BA"/>
        </w:rPr>
      </w:pPr>
    </w:p>
    <w:p w:rsidR="00E90A36" w:rsidRPr="00300273" w:rsidRDefault="00E90A36" w:rsidP="00E90A36">
      <w:pPr>
        <w:spacing w:after="0"/>
        <w:rPr>
          <w:rFonts w:cs="Arial"/>
          <w:b/>
          <w:lang w:val="bs-Latn-BA"/>
        </w:rPr>
      </w:pPr>
    </w:p>
    <w:p w:rsidR="008E7827" w:rsidRDefault="008E7827" w:rsidP="00E90A36">
      <w:pPr>
        <w:spacing w:after="0"/>
        <w:rPr>
          <w:rFonts w:cs="Arial"/>
          <w:b/>
          <w:lang w:val="bs-Latn-BA"/>
        </w:rPr>
      </w:pPr>
    </w:p>
    <w:p w:rsidR="008E7827" w:rsidRDefault="008E7827" w:rsidP="00E90A36">
      <w:pPr>
        <w:spacing w:after="0"/>
        <w:rPr>
          <w:rFonts w:cs="Arial"/>
          <w:b/>
          <w:lang w:val="bs-Latn-BA"/>
        </w:rPr>
      </w:pPr>
    </w:p>
    <w:p w:rsidR="008E7827" w:rsidRDefault="008E7827" w:rsidP="00E90A36">
      <w:pPr>
        <w:spacing w:after="0"/>
        <w:rPr>
          <w:rFonts w:cs="Arial"/>
          <w:b/>
          <w:lang w:val="bs-Latn-BA"/>
        </w:rPr>
      </w:pPr>
    </w:p>
    <w:p w:rsidR="008E7827" w:rsidRDefault="008E7827" w:rsidP="00E90A36">
      <w:pPr>
        <w:spacing w:after="0"/>
        <w:rPr>
          <w:rFonts w:cs="Arial"/>
          <w:b/>
          <w:lang w:val="bs-Latn-BA"/>
        </w:rPr>
      </w:pPr>
    </w:p>
    <w:p w:rsidR="00E90A36" w:rsidRPr="00300273" w:rsidRDefault="00CC07A2" w:rsidP="00E90A36">
      <w:pPr>
        <w:spacing w:after="0"/>
        <w:rPr>
          <w:rFonts w:cs="Arial"/>
          <w:b/>
          <w:lang w:val="bs-Latn-BA"/>
        </w:rPr>
      </w:pPr>
      <w:r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81792" behindDoc="1" locked="0" layoutInCell="1" allowOverlap="1" wp14:anchorId="30AB9B8B" wp14:editId="427AEFD9">
            <wp:simplePos x="0" y="0"/>
            <wp:positionH relativeFrom="column">
              <wp:posOffset>3800475</wp:posOffset>
            </wp:positionH>
            <wp:positionV relativeFrom="paragraph">
              <wp:posOffset>99695</wp:posOffset>
            </wp:positionV>
            <wp:extent cx="1266825" cy="4070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i-logo-6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273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79744" behindDoc="1" locked="0" layoutInCell="1" allowOverlap="1" wp14:anchorId="49B15B75" wp14:editId="340E65CE">
            <wp:simplePos x="0" y="0"/>
            <wp:positionH relativeFrom="column">
              <wp:posOffset>5467350</wp:posOffset>
            </wp:positionH>
            <wp:positionV relativeFrom="paragraph">
              <wp:posOffset>111125</wp:posOffset>
            </wp:positionV>
            <wp:extent cx="828675" cy="422910"/>
            <wp:effectExtent l="0" t="0" r="9525" b="0"/>
            <wp:wrapTight wrapText="bothSides">
              <wp:wrapPolygon edited="0">
                <wp:start x="0" y="0"/>
                <wp:lineTo x="0" y="20432"/>
                <wp:lineTo x="21352" y="20432"/>
                <wp:lineTo x="213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273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78720" behindDoc="1" locked="0" layoutInCell="1" allowOverlap="1" wp14:anchorId="2764628F" wp14:editId="5125CFCE">
            <wp:simplePos x="0" y="0"/>
            <wp:positionH relativeFrom="column">
              <wp:posOffset>2038985</wp:posOffset>
            </wp:positionH>
            <wp:positionV relativeFrom="paragraph">
              <wp:posOffset>142240</wp:posOffset>
            </wp:positionV>
            <wp:extent cx="1226185" cy="405765"/>
            <wp:effectExtent l="0" t="0" r="0" b="0"/>
            <wp:wrapTight wrapText="bothSides">
              <wp:wrapPolygon edited="0">
                <wp:start x="0" y="0"/>
                <wp:lineTo x="0" y="20282"/>
                <wp:lineTo x="21141" y="20282"/>
                <wp:lineTo x="2114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t="35822" r="22491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273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80768" behindDoc="1" locked="0" layoutInCell="1" allowOverlap="1" wp14:anchorId="205FE59F" wp14:editId="19F8BE3C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606588" cy="371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8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36" w:rsidRPr="00300273" w:rsidRDefault="00E90A36" w:rsidP="00E90A36">
      <w:pPr>
        <w:pStyle w:val="PlainText"/>
        <w:rPr>
          <w:rFonts w:asciiTheme="minorHAnsi" w:hAnsiTheme="minorHAnsi"/>
          <w:sz w:val="16"/>
          <w:szCs w:val="16"/>
        </w:rPr>
      </w:pPr>
    </w:p>
    <w:p w:rsidR="00E90A36" w:rsidRPr="00300273" w:rsidRDefault="00E90A36" w:rsidP="00E90A36">
      <w:pPr>
        <w:pStyle w:val="PlainText"/>
        <w:rPr>
          <w:rFonts w:asciiTheme="minorHAnsi" w:hAnsiTheme="minorHAnsi"/>
          <w:sz w:val="16"/>
          <w:szCs w:val="16"/>
        </w:rPr>
      </w:pPr>
    </w:p>
    <w:p w:rsidR="00E90A36" w:rsidRPr="00300273" w:rsidRDefault="00E90A36" w:rsidP="00E90A36">
      <w:pPr>
        <w:pStyle w:val="PlainText"/>
        <w:rPr>
          <w:rFonts w:asciiTheme="minorHAnsi" w:hAnsiTheme="minorHAnsi"/>
          <w:sz w:val="16"/>
          <w:szCs w:val="16"/>
        </w:rPr>
      </w:pPr>
    </w:p>
    <w:p w:rsidR="00E90A36" w:rsidRPr="00300273" w:rsidRDefault="00E90A36" w:rsidP="00E90A36">
      <w:pPr>
        <w:pStyle w:val="PlainText"/>
        <w:rPr>
          <w:rFonts w:asciiTheme="minorHAnsi" w:hAnsiTheme="minorHAnsi"/>
          <w:sz w:val="16"/>
          <w:szCs w:val="16"/>
        </w:rPr>
      </w:pPr>
      <w:r w:rsidRPr="00300273">
        <w:rPr>
          <w:rFonts w:asciiTheme="minorHAnsi" w:hAnsiTheme="minorHAnsi"/>
          <w:sz w:val="16"/>
          <w:szCs w:val="16"/>
        </w:rPr>
        <w:t xml:space="preserve">Projekat „Partnerstvom za otvorenu vlast – Podrška inicijativi Partnerstvo za otvorenu vast“ </w:t>
      </w:r>
      <w:r w:rsidRPr="00300273">
        <w:rPr>
          <w:rFonts w:asciiTheme="minorHAnsi" w:hAnsiTheme="minorHAnsi"/>
          <w:bCs/>
          <w:sz w:val="16"/>
          <w:szCs w:val="16"/>
        </w:rPr>
        <w:t xml:space="preserve">finansijski podržan od strane Fonda </w:t>
      </w:r>
      <w:r w:rsidRPr="00300273">
        <w:rPr>
          <w:rFonts w:asciiTheme="minorHAnsi" w:hAnsiTheme="minorHAnsi"/>
          <w:sz w:val="16"/>
          <w:szCs w:val="16"/>
        </w:rPr>
        <w:t xml:space="preserve">otvoreno društvo BiH </w:t>
      </w:r>
    </w:p>
    <w:p w:rsidR="00BF64ED" w:rsidRPr="00300273" w:rsidRDefault="00BF64ED" w:rsidP="00BF64ED">
      <w:pPr>
        <w:pStyle w:val="PlainText"/>
        <w:rPr>
          <w:rFonts w:asciiTheme="minorHAnsi" w:hAnsiTheme="minorHAnsi"/>
          <w:sz w:val="16"/>
          <w:szCs w:val="16"/>
        </w:rPr>
      </w:pPr>
    </w:p>
    <w:sectPr w:rsidR="00BF64ED" w:rsidRPr="00300273" w:rsidSect="008B132F">
      <w:headerReference w:type="default" r:id="rId11"/>
      <w:footerReference w:type="defaul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F3" w:rsidRDefault="006C0AF3" w:rsidP="008B132F">
      <w:pPr>
        <w:spacing w:after="0" w:line="240" w:lineRule="auto"/>
      </w:pPr>
      <w:r>
        <w:separator/>
      </w:r>
    </w:p>
  </w:endnote>
  <w:endnote w:type="continuationSeparator" w:id="0">
    <w:p w:rsidR="006C0AF3" w:rsidRDefault="006C0AF3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FF1ED6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-354850</wp:posOffset>
          </wp:positionH>
          <wp:positionV relativeFrom="paragraph">
            <wp:posOffset>-325755</wp:posOffset>
          </wp:positionV>
          <wp:extent cx="4584192" cy="737616"/>
          <wp:effectExtent l="0" t="0" r="6985" b="5715"/>
          <wp:wrapNone/>
          <wp:docPr id="6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F3" w:rsidRDefault="006C0AF3" w:rsidP="008B132F">
      <w:pPr>
        <w:spacing w:after="0" w:line="240" w:lineRule="auto"/>
      </w:pPr>
      <w:r>
        <w:separator/>
      </w:r>
    </w:p>
  </w:footnote>
  <w:footnote w:type="continuationSeparator" w:id="0">
    <w:p w:rsidR="006C0AF3" w:rsidRDefault="006C0AF3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47077D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38FF5EA8" wp14:editId="37DF2022">
          <wp:simplePos x="0" y="0"/>
          <wp:positionH relativeFrom="column">
            <wp:posOffset>4267200</wp:posOffset>
          </wp:positionH>
          <wp:positionV relativeFrom="paragraph">
            <wp:posOffset>-173545</wp:posOffset>
          </wp:positionV>
          <wp:extent cx="2276475" cy="608965"/>
          <wp:effectExtent l="0" t="0" r="9525" b="635"/>
          <wp:wrapTight wrapText="bothSides">
            <wp:wrapPolygon edited="0">
              <wp:start x="0" y="0"/>
              <wp:lineTo x="0" y="20947"/>
              <wp:lineTo x="21510" y="20947"/>
              <wp:lineTo x="2151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32F">
      <w:rPr>
        <w:noProof/>
        <w:lang w:val="bs-Latn-BA" w:eastAsia="bs-Latn-BA"/>
      </w:rPr>
      <w:drawing>
        <wp:inline distT="0" distB="0" distL="0" distR="0" wp14:anchorId="23AD51B7" wp14:editId="4B24ADED">
          <wp:extent cx="1849507" cy="459969"/>
          <wp:effectExtent l="19050" t="0" r="0" b="0"/>
          <wp:docPr id="5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B7"/>
    <w:multiLevelType w:val="hybridMultilevel"/>
    <w:tmpl w:val="E7F8B526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A6D"/>
    <w:multiLevelType w:val="hybridMultilevel"/>
    <w:tmpl w:val="37CE58E2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06"/>
    <w:multiLevelType w:val="hybridMultilevel"/>
    <w:tmpl w:val="513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A3E"/>
    <w:multiLevelType w:val="hybridMultilevel"/>
    <w:tmpl w:val="3D82F2EA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D7F363A"/>
    <w:multiLevelType w:val="hybridMultilevel"/>
    <w:tmpl w:val="C1A802FC"/>
    <w:lvl w:ilvl="0" w:tplc="AEA0E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375D9"/>
    <w:rsid w:val="00081E6B"/>
    <w:rsid w:val="000A4554"/>
    <w:rsid w:val="000A5787"/>
    <w:rsid w:val="000B38DB"/>
    <w:rsid w:val="000C53FF"/>
    <w:rsid w:val="000D6080"/>
    <w:rsid w:val="00102B55"/>
    <w:rsid w:val="001251E9"/>
    <w:rsid w:val="00144BAA"/>
    <w:rsid w:val="0015665C"/>
    <w:rsid w:val="001704DE"/>
    <w:rsid w:val="001721D5"/>
    <w:rsid w:val="00195287"/>
    <w:rsid w:val="001B39CA"/>
    <w:rsid w:val="001E07C2"/>
    <w:rsid w:val="00200534"/>
    <w:rsid w:val="002133C3"/>
    <w:rsid w:val="002142B6"/>
    <w:rsid w:val="00226C09"/>
    <w:rsid w:val="00245861"/>
    <w:rsid w:val="00254603"/>
    <w:rsid w:val="00270F96"/>
    <w:rsid w:val="00291306"/>
    <w:rsid w:val="00291AD5"/>
    <w:rsid w:val="00294A48"/>
    <w:rsid w:val="002C1838"/>
    <w:rsid w:val="00300273"/>
    <w:rsid w:val="003058E4"/>
    <w:rsid w:val="0031029A"/>
    <w:rsid w:val="00333197"/>
    <w:rsid w:val="00361460"/>
    <w:rsid w:val="003B1CAA"/>
    <w:rsid w:val="003B418B"/>
    <w:rsid w:val="003C0737"/>
    <w:rsid w:val="003C204A"/>
    <w:rsid w:val="003C744D"/>
    <w:rsid w:val="003D0691"/>
    <w:rsid w:val="003D3352"/>
    <w:rsid w:val="003E73AA"/>
    <w:rsid w:val="0040036B"/>
    <w:rsid w:val="00402B90"/>
    <w:rsid w:val="004338C6"/>
    <w:rsid w:val="00445E0C"/>
    <w:rsid w:val="0047077D"/>
    <w:rsid w:val="00484CDE"/>
    <w:rsid w:val="00494711"/>
    <w:rsid w:val="004A28C2"/>
    <w:rsid w:val="004C76A5"/>
    <w:rsid w:val="005125F9"/>
    <w:rsid w:val="005603D4"/>
    <w:rsid w:val="00593AFE"/>
    <w:rsid w:val="005C7DD2"/>
    <w:rsid w:val="005D25DC"/>
    <w:rsid w:val="00646972"/>
    <w:rsid w:val="006C0AF3"/>
    <w:rsid w:val="006F5F76"/>
    <w:rsid w:val="006F614C"/>
    <w:rsid w:val="006F6CC7"/>
    <w:rsid w:val="00704C8F"/>
    <w:rsid w:val="007146E8"/>
    <w:rsid w:val="00715DF4"/>
    <w:rsid w:val="007346C2"/>
    <w:rsid w:val="00746633"/>
    <w:rsid w:val="007566E7"/>
    <w:rsid w:val="00775DF7"/>
    <w:rsid w:val="00790AC1"/>
    <w:rsid w:val="007B4AA6"/>
    <w:rsid w:val="007B58E9"/>
    <w:rsid w:val="007D479E"/>
    <w:rsid w:val="007E673D"/>
    <w:rsid w:val="007F0594"/>
    <w:rsid w:val="00812391"/>
    <w:rsid w:val="00820088"/>
    <w:rsid w:val="00832158"/>
    <w:rsid w:val="00832A9E"/>
    <w:rsid w:val="00841159"/>
    <w:rsid w:val="00866532"/>
    <w:rsid w:val="008845E1"/>
    <w:rsid w:val="008A374F"/>
    <w:rsid w:val="008B132F"/>
    <w:rsid w:val="008D7060"/>
    <w:rsid w:val="008E4BF0"/>
    <w:rsid w:val="008E7827"/>
    <w:rsid w:val="00907A22"/>
    <w:rsid w:val="009302B2"/>
    <w:rsid w:val="00935DDF"/>
    <w:rsid w:val="00984AC8"/>
    <w:rsid w:val="00985499"/>
    <w:rsid w:val="009B704B"/>
    <w:rsid w:val="009B7F9E"/>
    <w:rsid w:val="009F44CB"/>
    <w:rsid w:val="00A11397"/>
    <w:rsid w:val="00A12DE4"/>
    <w:rsid w:val="00A417FC"/>
    <w:rsid w:val="00A630C4"/>
    <w:rsid w:val="00A67187"/>
    <w:rsid w:val="00A73384"/>
    <w:rsid w:val="00AD264A"/>
    <w:rsid w:val="00AE3B92"/>
    <w:rsid w:val="00B229E7"/>
    <w:rsid w:val="00B472FB"/>
    <w:rsid w:val="00B630DF"/>
    <w:rsid w:val="00B7216B"/>
    <w:rsid w:val="00B8230B"/>
    <w:rsid w:val="00B900FF"/>
    <w:rsid w:val="00B92921"/>
    <w:rsid w:val="00BA1032"/>
    <w:rsid w:val="00BA3F38"/>
    <w:rsid w:val="00BA4E79"/>
    <w:rsid w:val="00BA604F"/>
    <w:rsid w:val="00BB550D"/>
    <w:rsid w:val="00BC41AC"/>
    <w:rsid w:val="00BD5475"/>
    <w:rsid w:val="00BF64ED"/>
    <w:rsid w:val="00C15E19"/>
    <w:rsid w:val="00C26EB4"/>
    <w:rsid w:val="00C3483F"/>
    <w:rsid w:val="00C840AB"/>
    <w:rsid w:val="00C8605C"/>
    <w:rsid w:val="00CB04A2"/>
    <w:rsid w:val="00CC07A2"/>
    <w:rsid w:val="00CD5C01"/>
    <w:rsid w:val="00CE31C9"/>
    <w:rsid w:val="00CE608C"/>
    <w:rsid w:val="00CF0AC8"/>
    <w:rsid w:val="00CF3700"/>
    <w:rsid w:val="00D01248"/>
    <w:rsid w:val="00D142FC"/>
    <w:rsid w:val="00D41BBB"/>
    <w:rsid w:val="00D75947"/>
    <w:rsid w:val="00DA1F63"/>
    <w:rsid w:val="00DA50AD"/>
    <w:rsid w:val="00DE1C81"/>
    <w:rsid w:val="00E0446C"/>
    <w:rsid w:val="00E069D1"/>
    <w:rsid w:val="00E67AEC"/>
    <w:rsid w:val="00E90A36"/>
    <w:rsid w:val="00E96BF8"/>
    <w:rsid w:val="00EB4FBD"/>
    <w:rsid w:val="00EC347C"/>
    <w:rsid w:val="00EC5023"/>
    <w:rsid w:val="00ED7629"/>
    <w:rsid w:val="00ED774A"/>
    <w:rsid w:val="00EF2BD2"/>
    <w:rsid w:val="00EF3A9A"/>
    <w:rsid w:val="00F35914"/>
    <w:rsid w:val="00F85E1B"/>
    <w:rsid w:val="00F97DA2"/>
    <w:rsid w:val="00FD298D"/>
    <w:rsid w:val="00FF08B4"/>
    <w:rsid w:val="00FF1ED6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paragraph" w:styleId="Heading2">
    <w:name w:val="heading 2"/>
    <w:basedOn w:val="Normal"/>
    <w:next w:val="Normal"/>
    <w:link w:val="Heading2Char"/>
    <w:unhideWhenUsed/>
    <w:qFormat/>
    <w:rsid w:val="0047077D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F6CC7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6F6CC7"/>
    <w:rPr>
      <w:rFonts w:ascii="Calibri" w:eastAsia="Calibri" w:hAnsi="Calibri" w:cs="Times New Roman"/>
      <w:szCs w:val="21"/>
      <w:lang w:val="bs-Latn-BA"/>
    </w:rPr>
  </w:style>
  <w:style w:type="character" w:customStyle="1" w:styleId="Heading2Char">
    <w:name w:val="Heading 2 Char"/>
    <w:basedOn w:val="DefaultParagraphFont"/>
    <w:link w:val="Heading2"/>
    <w:rsid w:val="0047077D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Hyperlink">
    <w:name w:val="Hyperlink"/>
    <w:rsid w:val="0047077D"/>
    <w:rPr>
      <w:color w:val="0000FF"/>
      <w:u w:val="single"/>
    </w:rPr>
  </w:style>
  <w:style w:type="character" w:customStyle="1" w:styleId="tekst">
    <w:name w:val="tekst"/>
    <w:basedOn w:val="DefaultParagraphFont"/>
    <w:rsid w:val="00832A9E"/>
  </w:style>
  <w:style w:type="paragraph" w:styleId="ListParagraph">
    <w:name w:val="List Paragraph"/>
    <w:basedOn w:val="Normal"/>
    <w:uiPriority w:val="34"/>
    <w:qFormat/>
    <w:rsid w:val="002458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25F9"/>
    <w:rPr>
      <w:i/>
      <w:iCs/>
    </w:rPr>
  </w:style>
  <w:style w:type="character" w:customStyle="1" w:styleId="apple-converted-space">
    <w:name w:val="apple-converted-space"/>
    <w:basedOn w:val="DefaultParagraphFont"/>
    <w:rsid w:val="00AD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</cp:revision>
  <cp:lastPrinted>2016-06-14T12:52:00Z</cp:lastPrinted>
  <dcterms:created xsi:type="dcterms:W3CDTF">2016-06-20T10:11:00Z</dcterms:created>
  <dcterms:modified xsi:type="dcterms:W3CDTF">2016-06-20T10:11:00Z</dcterms:modified>
</cp:coreProperties>
</file>