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80" w:rsidRPr="003A78F3" w:rsidRDefault="0023289F" w:rsidP="00051461">
      <w:pPr>
        <w:pStyle w:val="NoSpacing"/>
        <w:jc w:val="center"/>
        <w:rPr>
          <w:lang w:val="en-GB"/>
        </w:rPr>
      </w:pPr>
      <w:r w:rsidRPr="003A78F3">
        <w:rPr>
          <w:noProof/>
          <w:lang w:val="bs-Latn-BA" w:eastAsia="bs-Latn-B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2711183</wp:posOffset>
            </wp:positionH>
            <wp:positionV relativeFrom="paragraph">
              <wp:posOffset>-247182</wp:posOffset>
            </wp:positionV>
            <wp:extent cx="1134110" cy="756285"/>
            <wp:effectExtent l="0" t="0" r="8890" b="5715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78F3">
        <w:rPr>
          <w:noProof/>
          <w:lang w:val="bs-Latn-BA" w:eastAsia="bs-Latn-B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4836327</wp:posOffset>
            </wp:positionH>
            <wp:positionV relativeFrom="paragraph">
              <wp:posOffset>-122421</wp:posOffset>
            </wp:positionV>
            <wp:extent cx="466725" cy="567055"/>
            <wp:effectExtent l="0" t="0" r="9525" b="4445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78F3">
        <w:rPr>
          <w:noProof/>
          <w:lang w:val="bs-Latn-BA" w:eastAsia="bs-Latn-B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13836</wp:posOffset>
            </wp:positionH>
            <wp:positionV relativeFrom="paragraph">
              <wp:posOffset>-51468</wp:posOffset>
            </wp:positionV>
            <wp:extent cx="1849755" cy="459740"/>
            <wp:effectExtent l="0" t="0" r="0" b="0"/>
            <wp:wrapNone/>
            <wp:docPr id="10" name="Picture 0" descr="TIBIH Stationery Maj 2015 0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IBIH Stationery Maj 2015 01-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461" w:rsidRPr="003A78F3" w:rsidRDefault="00051461" w:rsidP="00051461">
      <w:pPr>
        <w:pStyle w:val="NoSpacing"/>
        <w:jc w:val="center"/>
        <w:rPr>
          <w:lang w:val="en-GB"/>
        </w:rPr>
      </w:pPr>
    </w:p>
    <w:p w:rsidR="00051461" w:rsidRPr="003A78F3" w:rsidRDefault="00051461" w:rsidP="00051461">
      <w:pPr>
        <w:pStyle w:val="NoSpacing"/>
        <w:jc w:val="center"/>
        <w:rPr>
          <w:lang w:val="en-GB"/>
        </w:rPr>
      </w:pPr>
    </w:p>
    <w:p w:rsidR="00051461" w:rsidRPr="003A78F3" w:rsidRDefault="00051461" w:rsidP="00051461">
      <w:pPr>
        <w:pStyle w:val="NoSpacing"/>
        <w:jc w:val="center"/>
        <w:rPr>
          <w:lang w:val="en-GB"/>
        </w:rPr>
      </w:pPr>
    </w:p>
    <w:p w:rsidR="00051461" w:rsidRPr="003A78F3" w:rsidRDefault="00051461" w:rsidP="00051461">
      <w:pPr>
        <w:pStyle w:val="NoSpacing"/>
        <w:jc w:val="center"/>
        <w:rPr>
          <w:sz w:val="28"/>
          <w:szCs w:val="28"/>
          <w:lang w:val="en-GB"/>
        </w:rPr>
      </w:pPr>
    </w:p>
    <w:p w:rsidR="00A97C31" w:rsidRPr="003A78F3" w:rsidRDefault="00A97C31">
      <w:pPr>
        <w:rPr>
          <w:rFonts w:cs="Calibri"/>
          <w:lang w:val="en-GB"/>
        </w:rPr>
      </w:pPr>
    </w:p>
    <w:p w:rsidR="00A97C31" w:rsidRPr="003A78F3" w:rsidRDefault="00A97C31">
      <w:pPr>
        <w:rPr>
          <w:rFonts w:cs="Calibri"/>
          <w:lang w:val="en-GB"/>
        </w:rPr>
      </w:pPr>
    </w:p>
    <w:p w:rsidR="00A97C31" w:rsidRPr="003A78F3" w:rsidRDefault="00A97C31">
      <w:pPr>
        <w:rPr>
          <w:rFonts w:cs="Calibri"/>
          <w:lang w:val="en-GB"/>
        </w:rPr>
      </w:pPr>
    </w:p>
    <w:p w:rsidR="00A97C31" w:rsidRPr="003A78F3" w:rsidRDefault="00622566">
      <w:pPr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 </w:t>
      </w:r>
    </w:p>
    <w:p w:rsidR="00A97C31" w:rsidRPr="003A78F3" w:rsidRDefault="00A97C31">
      <w:pPr>
        <w:rPr>
          <w:rFonts w:cs="Calibri"/>
          <w:lang w:val="en-GB"/>
        </w:rPr>
      </w:pPr>
    </w:p>
    <w:p w:rsidR="00403657" w:rsidRPr="003A78F3" w:rsidRDefault="00403657">
      <w:pPr>
        <w:rPr>
          <w:rFonts w:cs="Calibri"/>
          <w:lang w:val="en-GB"/>
        </w:rPr>
      </w:pPr>
    </w:p>
    <w:p w:rsidR="00A97C31" w:rsidRPr="003A78F3" w:rsidRDefault="00A97C31">
      <w:pPr>
        <w:rPr>
          <w:rFonts w:cs="Calibri"/>
          <w:lang w:val="en-GB"/>
        </w:rPr>
      </w:pPr>
    </w:p>
    <w:p w:rsidR="00BF1835" w:rsidRDefault="00BF1835" w:rsidP="00BF1835">
      <w:pPr>
        <w:spacing w:after="0"/>
        <w:jc w:val="center"/>
        <w:rPr>
          <w:rFonts w:eastAsia="Calibri" w:cs="Calibri"/>
          <w:b/>
          <w:color w:val="000000"/>
          <w:kern w:val="1"/>
          <w:sz w:val="28"/>
          <w:szCs w:val="28"/>
          <w:lang w:val="en-GB"/>
        </w:rPr>
      </w:pPr>
      <w:r w:rsidRPr="00BF1835">
        <w:rPr>
          <w:rFonts w:eastAsia="Calibri" w:cs="Calibri"/>
          <w:b/>
          <w:color w:val="000000"/>
          <w:kern w:val="1"/>
          <w:sz w:val="28"/>
          <w:szCs w:val="28"/>
          <w:lang w:val="en-GB"/>
        </w:rPr>
        <w:t>PUBLIC ADMINISTRATION REFORM MONITORING IN BOSNIA AND HERZEGOVINA: A</w:t>
      </w:r>
      <w:r w:rsidRPr="00BF1835">
        <w:rPr>
          <w:rFonts w:eastAsia="Calibri" w:cs="Calibri"/>
          <w:b/>
          <w:color w:val="000000"/>
          <w:kern w:val="1"/>
          <w:sz w:val="28"/>
          <w:szCs w:val="28"/>
          <w:lang w:val="en-GB"/>
        </w:rPr>
        <w:t>NALYSIS OF RESULTS IN THE AREA O</w:t>
      </w:r>
      <w:r w:rsidRPr="00BF1835">
        <w:rPr>
          <w:rFonts w:eastAsia="Calibri" w:cs="Calibri"/>
          <w:b/>
          <w:color w:val="000000"/>
          <w:kern w:val="1"/>
          <w:sz w:val="28"/>
          <w:szCs w:val="28"/>
          <w:lang w:val="en-GB"/>
        </w:rPr>
        <w:t xml:space="preserve">F PUBLIC FINANCE </w:t>
      </w:r>
    </w:p>
    <w:p w:rsidR="00A97C31" w:rsidRPr="00BF1835" w:rsidRDefault="00622566" w:rsidP="00BF1835">
      <w:pPr>
        <w:jc w:val="center"/>
        <w:rPr>
          <w:rFonts w:eastAsia="Calibri" w:cs="Calibri"/>
          <w:b/>
          <w:color w:val="000000"/>
          <w:kern w:val="1"/>
          <w:sz w:val="28"/>
          <w:szCs w:val="28"/>
          <w:lang w:val="en-GB"/>
        </w:rPr>
      </w:pPr>
      <w:r w:rsidRPr="00BF1835">
        <w:rPr>
          <w:rFonts w:eastAsia="Calibri" w:cs="Calibri"/>
          <w:b/>
          <w:color w:val="000000"/>
          <w:kern w:val="1"/>
          <w:sz w:val="28"/>
          <w:szCs w:val="28"/>
          <w:lang w:val="en-GB"/>
        </w:rPr>
        <w:t>2014</w:t>
      </w:r>
      <w:bookmarkStart w:id="0" w:name="_GoBack"/>
      <w:bookmarkEnd w:id="0"/>
    </w:p>
    <w:p w:rsidR="00A97C31" w:rsidRPr="003A78F3" w:rsidRDefault="00A97C31">
      <w:pPr>
        <w:jc w:val="center"/>
        <w:rPr>
          <w:rFonts w:cs="Calibri"/>
          <w:b/>
          <w:sz w:val="32"/>
          <w:szCs w:val="32"/>
          <w:lang w:val="en-GB"/>
        </w:rPr>
      </w:pPr>
    </w:p>
    <w:p w:rsidR="00A97C31" w:rsidRDefault="00A97C31">
      <w:pPr>
        <w:rPr>
          <w:rFonts w:cs="Calibri"/>
          <w:lang w:val="en-GB"/>
        </w:rPr>
      </w:pPr>
    </w:p>
    <w:p w:rsidR="00BF1835" w:rsidRDefault="00BF1835">
      <w:pPr>
        <w:rPr>
          <w:rFonts w:cs="Calibri"/>
          <w:lang w:val="en-GB"/>
        </w:rPr>
      </w:pPr>
    </w:p>
    <w:p w:rsidR="00BF1835" w:rsidRPr="003A78F3" w:rsidRDefault="00BF1835">
      <w:pPr>
        <w:rPr>
          <w:rFonts w:cs="Calibri"/>
          <w:lang w:val="en-GB"/>
        </w:rPr>
      </w:pPr>
    </w:p>
    <w:p w:rsidR="00A97C31" w:rsidRPr="003A78F3" w:rsidRDefault="00A97C31">
      <w:pPr>
        <w:rPr>
          <w:rFonts w:cs="Calibri"/>
          <w:lang w:val="en-GB"/>
        </w:rPr>
      </w:pPr>
    </w:p>
    <w:p w:rsidR="00A97C31" w:rsidRPr="003A78F3" w:rsidRDefault="00A97C31">
      <w:pPr>
        <w:rPr>
          <w:rFonts w:cs="Calibri"/>
          <w:lang w:val="en-GB"/>
        </w:rPr>
      </w:pPr>
    </w:p>
    <w:p w:rsidR="00A97C31" w:rsidRPr="003A78F3" w:rsidRDefault="00A97C31">
      <w:pPr>
        <w:rPr>
          <w:rFonts w:cs="Calibri"/>
          <w:lang w:val="en-GB"/>
        </w:rPr>
      </w:pPr>
    </w:p>
    <w:p w:rsidR="00A97C31" w:rsidRPr="003A78F3" w:rsidRDefault="00A97C31">
      <w:pPr>
        <w:rPr>
          <w:rFonts w:cs="Calibri"/>
          <w:lang w:val="en-GB"/>
        </w:rPr>
      </w:pPr>
    </w:p>
    <w:p w:rsidR="00A97C31" w:rsidRPr="003A78F3" w:rsidRDefault="00A97C31">
      <w:pPr>
        <w:rPr>
          <w:rFonts w:cs="Calibri"/>
          <w:lang w:val="en-GB"/>
        </w:rPr>
      </w:pPr>
    </w:p>
    <w:p w:rsidR="00051461" w:rsidRPr="003A78F3" w:rsidRDefault="00051461" w:rsidP="00403657">
      <w:pPr>
        <w:spacing w:after="0" w:line="240" w:lineRule="auto"/>
        <w:jc w:val="center"/>
        <w:rPr>
          <w:i/>
          <w:sz w:val="22"/>
          <w:szCs w:val="22"/>
          <w:lang w:val="en-GB"/>
        </w:rPr>
      </w:pPr>
      <w:r w:rsidRPr="003A78F3">
        <w:rPr>
          <w:i/>
          <w:sz w:val="22"/>
          <w:szCs w:val="22"/>
          <w:lang w:val="en-GB"/>
        </w:rPr>
        <w:t xml:space="preserve">This document has been prepared </w:t>
      </w:r>
      <w:r w:rsidR="003A78F3" w:rsidRPr="003A78F3">
        <w:rPr>
          <w:i/>
          <w:sz w:val="22"/>
          <w:szCs w:val="22"/>
          <w:lang w:val="en-GB"/>
        </w:rPr>
        <w:t>under</w:t>
      </w:r>
      <w:r w:rsidRPr="003A78F3">
        <w:rPr>
          <w:i/>
          <w:sz w:val="22"/>
          <w:szCs w:val="22"/>
          <w:lang w:val="en-GB"/>
        </w:rPr>
        <w:t xml:space="preserve"> the Public Administration Reform </w:t>
      </w:r>
      <w:r w:rsidR="005A6D3B" w:rsidRPr="003A78F3">
        <w:rPr>
          <w:i/>
          <w:sz w:val="22"/>
          <w:szCs w:val="22"/>
          <w:lang w:val="en-GB"/>
        </w:rPr>
        <w:t>Monitoring (PARM)</w:t>
      </w:r>
      <w:r w:rsidRPr="003A78F3">
        <w:rPr>
          <w:i/>
          <w:sz w:val="22"/>
          <w:szCs w:val="22"/>
          <w:lang w:val="en-GB"/>
        </w:rPr>
        <w:t xml:space="preserve"> </w:t>
      </w:r>
      <w:r w:rsidR="005A6D3B" w:rsidRPr="003A78F3">
        <w:rPr>
          <w:i/>
          <w:sz w:val="22"/>
          <w:szCs w:val="22"/>
          <w:lang w:val="en-GB"/>
        </w:rPr>
        <w:t xml:space="preserve">project, </w:t>
      </w:r>
      <w:r w:rsidRPr="003A78F3">
        <w:rPr>
          <w:i/>
          <w:sz w:val="22"/>
          <w:szCs w:val="22"/>
          <w:lang w:val="en-GB"/>
        </w:rPr>
        <w:t xml:space="preserve">implemented by TI BiH and CIN, with financial support from the Swedish International Development Agency (SIDA) and the Government of Denmark. </w:t>
      </w:r>
      <w:r w:rsidR="005A6D3B" w:rsidRPr="003A78F3">
        <w:rPr>
          <w:i/>
          <w:sz w:val="22"/>
          <w:szCs w:val="22"/>
          <w:lang w:val="en-GB"/>
        </w:rPr>
        <w:t>The views and o</w:t>
      </w:r>
      <w:r w:rsidRPr="003A78F3">
        <w:rPr>
          <w:i/>
          <w:sz w:val="22"/>
          <w:szCs w:val="22"/>
          <w:lang w:val="en-GB"/>
        </w:rPr>
        <w:t xml:space="preserve">pinions </w:t>
      </w:r>
      <w:r w:rsidR="005A6D3B" w:rsidRPr="003A78F3">
        <w:rPr>
          <w:i/>
          <w:sz w:val="22"/>
          <w:szCs w:val="22"/>
          <w:lang w:val="en-GB"/>
        </w:rPr>
        <w:t xml:space="preserve">expressed </w:t>
      </w:r>
      <w:r w:rsidR="00A869EC" w:rsidRPr="003A78F3">
        <w:rPr>
          <w:i/>
          <w:sz w:val="22"/>
          <w:szCs w:val="22"/>
          <w:lang w:val="en-GB"/>
        </w:rPr>
        <w:t>herein</w:t>
      </w:r>
      <w:r w:rsidRPr="003A78F3">
        <w:rPr>
          <w:i/>
          <w:sz w:val="22"/>
          <w:szCs w:val="22"/>
          <w:lang w:val="en-GB"/>
        </w:rPr>
        <w:t xml:space="preserve"> are </w:t>
      </w:r>
      <w:r w:rsidR="00A869EC" w:rsidRPr="003A78F3">
        <w:rPr>
          <w:i/>
          <w:sz w:val="22"/>
          <w:szCs w:val="22"/>
          <w:lang w:val="en-GB"/>
        </w:rPr>
        <w:t xml:space="preserve">solely </w:t>
      </w:r>
      <w:r w:rsidRPr="003A78F3">
        <w:rPr>
          <w:i/>
          <w:sz w:val="22"/>
          <w:szCs w:val="22"/>
          <w:lang w:val="en-GB"/>
        </w:rPr>
        <w:t xml:space="preserve">those of TI BiH and </w:t>
      </w:r>
      <w:r w:rsidR="00A869EC" w:rsidRPr="003A78F3">
        <w:rPr>
          <w:i/>
          <w:sz w:val="22"/>
          <w:szCs w:val="22"/>
          <w:lang w:val="en-GB"/>
        </w:rPr>
        <w:t xml:space="preserve">can in </w:t>
      </w:r>
      <w:r w:rsidRPr="003A78F3">
        <w:rPr>
          <w:i/>
          <w:sz w:val="22"/>
          <w:szCs w:val="22"/>
          <w:lang w:val="en-GB"/>
        </w:rPr>
        <w:t xml:space="preserve">no way </w:t>
      </w:r>
      <w:r w:rsidR="00A869EC" w:rsidRPr="003A78F3">
        <w:rPr>
          <w:i/>
          <w:sz w:val="22"/>
          <w:szCs w:val="22"/>
          <w:lang w:val="en-GB"/>
        </w:rPr>
        <w:t xml:space="preserve">be taken to </w:t>
      </w:r>
      <w:r w:rsidRPr="003A78F3">
        <w:rPr>
          <w:i/>
          <w:sz w:val="22"/>
          <w:szCs w:val="22"/>
          <w:lang w:val="en-GB"/>
        </w:rPr>
        <w:t xml:space="preserve">reflect the views of </w:t>
      </w:r>
      <w:r w:rsidR="00A869EC" w:rsidRPr="003A78F3">
        <w:rPr>
          <w:i/>
          <w:sz w:val="22"/>
          <w:szCs w:val="22"/>
          <w:lang w:val="en-GB"/>
        </w:rPr>
        <w:t>SIDA</w:t>
      </w:r>
      <w:r w:rsidRPr="003A78F3">
        <w:rPr>
          <w:i/>
          <w:sz w:val="22"/>
          <w:szCs w:val="22"/>
          <w:lang w:val="en-GB"/>
        </w:rPr>
        <w:t xml:space="preserve"> or the Government of Denmark.</w:t>
      </w:r>
    </w:p>
    <w:p w:rsidR="00051461" w:rsidRPr="003A78F3" w:rsidRDefault="00051461" w:rsidP="00403657">
      <w:pPr>
        <w:spacing w:line="240" w:lineRule="auto"/>
        <w:jc w:val="center"/>
        <w:rPr>
          <w:b/>
          <w:lang w:val="en-GB"/>
        </w:rPr>
      </w:pPr>
    </w:p>
    <w:p w:rsidR="00051461" w:rsidRPr="003A78F3" w:rsidRDefault="00A94FDD" w:rsidP="00051461">
      <w:pPr>
        <w:jc w:val="center"/>
        <w:rPr>
          <w:b/>
          <w:lang w:val="en-GB"/>
        </w:rPr>
      </w:pPr>
      <w:r w:rsidRPr="003A78F3">
        <w:rPr>
          <w:b/>
          <w:lang w:val="en-GB"/>
        </w:rPr>
        <w:lastRenderedPageBreak/>
        <w:t xml:space="preserve">March </w:t>
      </w:r>
      <w:r w:rsidR="00A869EC" w:rsidRPr="003A78F3">
        <w:rPr>
          <w:b/>
          <w:lang w:val="en-GB"/>
        </w:rPr>
        <w:t>2015</w:t>
      </w:r>
    </w:p>
    <w:p w:rsidR="00A97C31" w:rsidRPr="003A78F3" w:rsidRDefault="00A869EC">
      <w:pPr>
        <w:rPr>
          <w:rFonts w:cs="Calibri"/>
          <w:lang w:val="en-GB"/>
        </w:rPr>
      </w:pPr>
      <w:r w:rsidRPr="003A78F3">
        <w:rPr>
          <w:rFonts w:cs="Calibri"/>
          <w:lang w:val="en-GB"/>
        </w:rPr>
        <w:t>Acronyms and a</w:t>
      </w:r>
      <w:r w:rsidR="00622566" w:rsidRPr="003A78F3">
        <w:rPr>
          <w:rFonts w:cs="Calibri"/>
          <w:lang w:val="en-GB"/>
        </w:rPr>
        <w:t>bbreviations</w:t>
      </w:r>
      <w:r w:rsidRPr="003A78F3">
        <w:rPr>
          <w:rFonts w:cs="Calibri"/>
          <w:lang w:val="en-GB"/>
        </w:rPr>
        <w:t xml:space="preserve"> </w:t>
      </w:r>
    </w:p>
    <w:tbl>
      <w:tblPr>
        <w:tblW w:w="886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7003"/>
        <w:gridCol w:w="6"/>
      </w:tblGrid>
      <w:tr w:rsidR="00A97C31" w:rsidRPr="003A78F3">
        <w:trPr>
          <w:gridAfter w:val="1"/>
          <w:wAfter w:w="6" w:type="dxa"/>
          <w:trHeight w:val="23"/>
        </w:trPr>
        <w:tc>
          <w:tcPr>
            <w:tcW w:w="1860" w:type="dxa"/>
          </w:tcPr>
          <w:p w:rsidR="00A97C31" w:rsidRPr="003A78F3" w:rsidRDefault="00A869EC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BiH</w:t>
            </w:r>
          </w:p>
        </w:tc>
        <w:tc>
          <w:tcPr>
            <w:tcW w:w="7003" w:type="dxa"/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Bosnia and Herzegovina</w:t>
            </w:r>
          </w:p>
        </w:tc>
      </w:tr>
      <w:tr w:rsidR="00A97C31" w:rsidRPr="003A78F3">
        <w:trPr>
          <w:gridAfter w:val="1"/>
          <w:wAfter w:w="6" w:type="dxa"/>
          <w:trHeight w:val="23"/>
        </w:trPr>
        <w:tc>
          <w:tcPr>
            <w:tcW w:w="1860" w:type="dxa"/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BD</w:t>
            </w:r>
          </w:p>
        </w:tc>
        <w:tc>
          <w:tcPr>
            <w:tcW w:w="7003" w:type="dxa"/>
          </w:tcPr>
          <w:p w:rsidR="00A97C31" w:rsidRPr="003A78F3" w:rsidRDefault="00622566" w:rsidP="00A869EC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Br</w:t>
            </w:r>
            <w:r w:rsidR="00A869EC" w:rsidRPr="003A78F3">
              <w:rPr>
                <w:rFonts w:cs="Calibri"/>
                <w:lang w:val="en-GB"/>
              </w:rPr>
              <w:t>čko D</w:t>
            </w:r>
            <w:r w:rsidRPr="003A78F3">
              <w:rPr>
                <w:rFonts w:cs="Calibri"/>
                <w:lang w:val="en-GB"/>
              </w:rPr>
              <w:t>istrict</w:t>
            </w:r>
          </w:p>
        </w:tc>
      </w:tr>
      <w:tr w:rsidR="00A97C31" w:rsidRPr="003A78F3">
        <w:trPr>
          <w:gridAfter w:val="1"/>
          <w:wAfter w:w="6" w:type="dxa"/>
          <w:trHeight w:val="23"/>
        </w:trPr>
        <w:tc>
          <w:tcPr>
            <w:tcW w:w="1860" w:type="dxa"/>
          </w:tcPr>
          <w:p w:rsidR="00A97C31" w:rsidRPr="003A78F3" w:rsidRDefault="00A869EC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FBi</w:t>
            </w:r>
            <w:r w:rsidR="00622566" w:rsidRPr="003A78F3">
              <w:rPr>
                <w:rFonts w:cs="Calibri"/>
                <w:lang w:val="en-GB"/>
              </w:rPr>
              <w:t>H</w:t>
            </w:r>
          </w:p>
        </w:tc>
        <w:tc>
          <w:tcPr>
            <w:tcW w:w="7003" w:type="dxa"/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Federation of Bosnia and Herzegovina</w:t>
            </w:r>
          </w:p>
        </w:tc>
      </w:tr>
      <w:tr w:rsidR="00A97C31" w:rsidRPr="003A78F3">
        <w:trPr>
          <w:gridAfter w:val="1"/>
          <w:wAfter w:w="6" w:type="dxa"/>
          <w:trHeight w:val="23"/>
        </w:trPr>
        <w:tc>
          <w:tcPr>
            <w:tcW w:w="1860" w:type="dxa"/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RS</w:t>
            </w:r>
          </w:p>
        </w:tc>
        <w:tc>
          <w:tcPr>
            <w:tcW w:w="7003" w:type="dxa"/>
          </w:tcPr>
          <w:p w:rsidR="00A97C31" w:rsidRPr="003A78F3" w:rsidRDefault="00622566" w:rsidP="00A869EC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Republi</w:t>
            </w:r>
            <w:r w:rsidR="00A869EC" w:rsidRPr="003A78F3">
              <w:rPr>
                <w:rFonts w:cs="Calibri"/>
                <w:lang w:val="en-GB"/>
              </w:rPr>
              <w:t>ka Srpska</w:t>
            </w:r>
          </w:p>
        </w:tc>
      </w:tr>
      <w:tr w:rsidR="00A97C31" w:rsidRPr="003A78F3">
        <w:trPr>
          <w:gridAfter w:val="1"/>
          <w:wAfter w:w="6" w:type="dxa"/>
          <w:trHeight w:val="23"/>
        </w:trPr>
        <w:tc>
          <w:tcPr>
            <w:tcW w:w="1860" w:type="dxa"/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GOF</w:t>
            </w:r>
          </w:p>
        </w:tc>
        <w:tc>
          <w:tcPr>
            <w:tcW w:w="7003" w:type="dxa"/>
          </w:tcPr>
          <w:p w:rsidR="00A97C31" w:rsidRPr="003A78F3" w:rsidRDefault="00A869EC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Global Framework of the Fiscal Balance and Policy</w:t>
            </w:r>
          </w:p>
        </w:tc>
      </w:tr>
      <w:tr w:rsidR="00A97C31" w:rsidRPr="003A78F3">
        <w:trPr>
          <w:gridAfter w:val="1"/>
          <w:wAfter w:w="6" w:type="dxa"/>
          <w:trHeight w:val="23"/>
        </w:trPr>
        <w:tc>
          <w:tcPr>
            <w:tcW w:w="1860" w:type="dxa"/>
          </w:tcPr>
          <w:p w:rsidR="00A97C31" w:rsidRPr="003A78F3" w:rsidRDefault="00A869EC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I</w:t>
            </w:r>
            <w:r w:rsidR="00622566" w:rsidRPr="003A78F3">
              <w:rPr>
                <w:rFonts w:cs="Calibri"/>
                <w:lang w:val="en-GB"/>
              </w:rPr>
              <w:t>MF</w:t>
            </w:r>
          </w:p>
        </w:tc>
        <w:tc>
          <w:tcPr>
            <w:tcW w:w="7003" w:type="dxa"/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International Monetary Fund</w:t>
            </w:r>
          </w:p>
        </w:tc>
      </w:tr>
      <w:tr w:rsidR="00A97C31" w:rsidRPr="003A78F3">
        <w:trPr>
          <w:gridAfter w:val="1"/>
          <w:wAfter w:w="6" w:type="dxa"/>
          <w:trHeight w:val="23"/>
        </w:trPr>
        <w:tc>
          <w:tcPr>
            <w:tcW w:w="1860" w:type="dxa"/>
          </w:tcPr>
          <w:p w:rsidR="00A97C31" w:rsidRPr="003A78F3" w:rsidRDefault="00A869EC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BFP</w:t>
            </w:r>
          </w:p>
        </w:tc>
        <w:tc>
          <w:tcPr>
            <w:tcW w:w="7003" w:type="dxa"/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Budget Framework Paper</w:t>
            </w:r>
          </w:p>
        </w:tc>
      </w:tr>
      <w:tr w:rsidR="00A97C31" w:rsidRPr="003A78F3">
        <w:trPr>
          <w:gridAfter w:val="1"/>
          <w:wAfter w:w="6" w:type="dxa"/>
          <w:trHeight w:val="23"/>
        </w:trPr>
        <w:tc>
          <w:tcPr>
            <w:tcW w:w="1860" w:type="dxa"/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DEP</w:t>
            </w:r>
          </w:p>
        </w:tc>
        <w:tc>
          <w:tcPr>
            <w:tcW w:w="7003" w:type="dxa"/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Directorate for Economic Planning</w:t>
            </w:r>
          </w:p>
        </w:tc>
      </w:tr>
      <w:tr w:rsidR="00A97C31" w:rsidRPr="003A78F3">
        <w:trPr>
          <w:gridAfter w:val="1"/>
          <w:wAfter w:w="6" w:type="dxa"/>
          <w:trHeight w:val="23"/>
        </w:trPr>
        <w:tc>
          <w:tcPr>
            <w:tcW w:w="1860" w:type="dxa"/>
          </w:tcPr>
          <w:p w:rsidR="00A97C31" w:rsidRPr="003A78F3" w:rsidRDefault="003C4578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IAS</w:t>
            </w:r>
          </w:p>
        </w:tc>
        <w:tc>
          <w:tcPr>
            <w:tcW w:w="7003" w:type="dxa"/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International Accounting Standards</w:t>
            </w:r>
          </w:p>
        </w:tc>
      </w:tr>
      <w:tr w:rsidR="00A97C31" w:rsidRPr="003A78F3">
        <w:trPr>
          <w:gridAfter w:val="1"/>
          <w:wAfter w:w="6" w:type="dxa"/>
          <w:trHeight w:val="23"/>
        </w:trPr>
        <w:tc>
          <w:tcPr>
            <w:tcW w:w="1860" w:type="dxa"/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ITA</w:t>
            </w:r>
          </w:p>
        </w:tc>
        <w:tc>
          <w:tcPr>
            <w:tcW w:w="7003" w:type="dxa"/>
          </w:tcPr>
          <w:p w:rsidR="00A97C31" w:rsidRPr="003A78F3" w:rsidRDefault="00622566" w:rsidP="00A869EC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Indirect Taxation</w:t>
            </w:r>
            <w:r w:rsidR="00A869EC" w:rsidRPr="003A78F3">
              <w:rPr>
                <w:rFonts w:cs="Calibri"/>
                <w:lang w:val="en-GB"/>
              </w:rPr>
              <w:t xml:space="preserve"> Authority</w:t>
            </w:r>
          </w:p>
        </w:tc>
      </w:tr>
      <w:tr w:rsidR="00A97C31" w:rsidRPr="003A78F3">
        <w:trPr>
          <w:gridAfter w:val="1"/>
          <w:wAfter w:w="6" w:type="dxa"/>
          <w:trHeight w:val="23"/>
        </w:trPr>
        <w:tc>
          <w:tcPr>
            <w:tcW w:w="1860" w:type="dxa"/>
          </w:tcPr>
          <w:p w:rsidR="00A97C31" w:rsidRPr="003A78F3" w:rsidRDefault="003C4578" w:rsidP="003C4578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MAU</w:t>
            </w:r>
          </w:p>
        </w:tc>
        <w:tc>
          <w:tcPr>
            <w:tcW w:w="7003" w:type="dxa"/>
          </w:tcPr>
          <w:p w:rsidR="00A97C31" w:rsidRPr="003A78F3" w:rsidRDefault="003C4578" w:rsidP="003C4578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Macroeconomic Analysis Unit of the</w:t>
            </w:r>
            <w:r w:rsidR="00622566" w:rsidRPr="003A78F3">
              <w:rPr>
                <w:rFonts w:cs="Calibri"/>
                <w:lang w:val="en-GB"/>
              </w:rPr>
              <w:t xml:space="preserve"> ITA</w:t>
            </w:r>
            <w:r w:rsidRPr="003A78F3">
              <w:rPr>
                <w:rFonts w:cs="Calibri"/>
                <w:lang w:val="en-GB"/>
              </w:rPr>
              <w:t xml:space="preserve"> Governing Board</w:t>
            </w:r>
          </w:p>
        </w:tc>
      </w:tr>
      <w:tr w:rsidR="00A97C31" w:rsidRPr="003A7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ERP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622566" w:rsidP="003C4578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Economic Reform Programme</w:t>
            </w:r>
          </w:p>
        </w:tc>
      </w:tr>
      <w:tr w:rsidR="00A97C31" w:rsidRPr="003A7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3C4578" w:rsidP="00867172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MF</w:t>
            </w:r>
            <w:r w:rsidR="00622566" w:rsidRPr="003A78F3">
              <w:rPr>
                <w:rFonts w:cs="Calibri"/>
                <w:lang w:val="en-GB"/>
              </w:rPr>
              <w:t>T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Ministry of Finance and Treasury</w:t>
            </w:r>
          </w:p>
        </w:tc>
      </w:tr>
      <w:tr w:rsidR="00A97C31" w:rsidRPr="003A7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MF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 xml:space="preserve">Ministry of Finance </w:t>
            </w:r>
          </w:p>
        </w:tc>
      </w:tr>
      <w:tr w:rsidR="00A97C31" w:rsidRPr="003A7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3C4578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IPSAS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622566" w:rsidP="003C4578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 xml:space="preserve">International </w:t>
            </w:r>
            <w:r w:rsidR="003C4578" w:rsidRPr="003A78F3">
              <w:rPr>
                <w:rFonts w:cs="Calibri"/>
                <w:lang w:val="en-GB"/>
              </w:rPr>
              <w:t xml:space="preserve">Public Sector Accounting Standards </w:t>
            </w:r>
          </w:p>
        </w:tc>
      </w:tr>
      <w:tr w:rsidR="00A97C31" w:rsidRPr="003A7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GFS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 xml:space="preserve">Government </w:t>
            </w:r>
            <w:r w:rsidR="00B3634D" w:rsidRPr="003A78F3">
              <w:rPr>
                <w:rFonts w:cs="Calibri"/>
                <w:lang w:val="en-GB"/>
              </w:rPr>
              <w:t>Finance Statistics</w:t>
            </w:r>
          </w:p>
        </w:tc>
      </w:tr>
      <w:tr w:rsidR="00A97C31" w:rsidRPr="003A7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 xml:space="preserve">PARCO 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B3634D" w:rsidP="00B3634D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 xml:space="preserve">Public Administration Reform Coordinator’s </w:t>
            </w:r>
            <w:r w:rsidR="00622566" w:rsidRPr="003A78F3">
              <w:rPr>
                <w:rFonts w:cs="Calibri"/>
                <w:lang w:val="en-GB"/>
              </w:rPr>
              <w:t>Office</w:t>
            </w:r>
          </w:p>
        </w:tc>
      </w:tr>
      <w:tr w:rsidR="00A97C31" w:rsidRPr="003A7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SBA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Stand-by Arrangement</w:t>
            </w:r>
          </w:p>
        </w:tc>
      </w:tr>
      <w:tr w:rsidR="00A97C31" w:rsidRPr="003A7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622566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>ESA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1" w:rsidRPr="003A78F3" w:rsidRDefault="00622566" w:rsidP="009E2F55">
            <w:pPr>
              <w:rPr>
                <w:rFonts w:cs="Calibri"/>
                <w:lang w:val="en-GB"/>
              </w:rPr>
            </w:pPr>
            <w:r w:rsidRPr="003A78F3">
              <w:rPr>
                <w:rFonts w:cs="Calibri"/>
                <w:lang w:val="en-GB"/>
              </w:rPr>
              <w:t xml:space="preserve">European </w:t>
            </w:r>
            <w:r w:rsidR="009E2F55" w:rsidRPr="003A78F3">
              <w:rPr>
                <w:rFonts w:cs="Calibri"/>
                <w:lang w:val="en-GB"/>
              </w:rPr>
              <w:t>S</w:t>
            </w:r>
            <w:r w:rsidRPr="003A78F3">
              <w:rPr>
                <w:rFonts w:cs="Calibri"/>
                <w:lang w:val="en-GB"/>
              </w:rPr>
              <w:t xml:space="preserve">ystem of </w:t>
            </w:r>
            <w:r w:rsidR="009E2F55" w:rsidRPr="003A78F3">
              <w:rPr>
                <w:rFonts w:cs="Calibri"/>
                <w:lang w:val="en-GB"/>
              </w:rPr>
              <w:t xml:space="preserve">National </w:t>
            </w:r>
            <w:r w:rsidRPr="003A78F3">
              <w:rPr>
                <w:rFonts w:cs="Calibri"/>
                <w:lang w:val="en-GB"/>
              </w:rPr>
              <w:t xml:space="preserve">and </w:t>
            </w:r>
            <w:r w:rsidR="009E2F55" w:rsidRPr="003A78F3">
              <w:rPr>
                <w:rFonts w:cs="Calibri"/>
                <w:lang w:val="en-GB"/>
              </w:rPr>
              <w:t>Regional Accounts</w:t>
            </w:r>
          </w:p>
        </w:tc>
      </w:tr>
    </w:tbl>
    <w:p w:rsidR="00A97C31" w:rsidRPr="003A78F3" w:rsidRDefault="00A97C31">
      <w:pPr>
        <w:rPr>
          <w:rFonts w:cs="Calibri"/>
          <w:lang w:val="en-GB"/>
        </w:rPr>
      </w:pPr>
    </w:p>
    <w:p w:rsidR="00A97C31" w:rsidRPr="003A78F3" w:rsidRDefault="00A97C31">
      <w:pPr>
        <w:rPr>
          <w:rFonts w:cs="Calibri"/>
          <w:lang w:val="en-GB"/>
        </w:rPr>
      </w:pPr>
    </w:p>
    <w:p w:rsidR="00A97C31" w:rsidRPr="003A78F3" w:rsidRDefault="00A97C31">
      <w:pPr>
        <w:rPr>
          <w:rFonts w:cs="Calibri"/>
          <w:lang w:val="en-GB"/>
        </w:rPr>
      </w:pPr>
    </w:p>
    <w:p w:rsidR="00A97C31" w:rsidRPr="003A78F3" w:rsidRDefault="00A97C31">
      <w:pPr>
        <w:rPr>
          <w:rFonts w:cs="Calibri"/>
          <w:lang w:val="en-GB"/>
        </w:rPr>
      </w:pPr>
    </w:p>
    <w:p w:rsidR="00A97C31" w:rsidRPr="003A78F3" w:rsidRDefault="00622566">
      <w:pPr>
        <w:rPr>
          <w:rFonts w:cs="Calibri"/>
          <w:b/>
          <w:lang w:val="en-GB"/>
        </w:rPr>
      </w:pPr>
      <w:r w:rsidRPr="003A78F3">
        <w:rPr>
          <w:rFonts w:cs="Calibri"/>
          <w:b/>
          <w:lang w:val="en-GB"/>
        </w:rPr>
        <w:t>T</w:t>
      </w:r>
      <w:r w:rsidR="009E2F55" w:rsidRPr="003A78F3">
        <w:rPr>
          <w:rFonts w:cs="Calibri"/>
          <w:b/>
          <w:lang w:val="en-GB"/>
        </w:rPr>
        <w:t>able of C</w:t>
      </w:r>
      <w:r w:rsidRPr="003A78F3">
        <w:rPr>
          <w:rFonts w:cs="Calibri"/>
          <w:b/>
          <w:lang w:val="en-GB"/>
        </w:rPr>
        <w:t>ontent</w:t>
      </w:r>
      <w:r w:rsidR="003A78F3" w:rsidRPr="003A78F3">
        <w:rPr>
          <w:rFonts w:cs="Calibri"/>
          <w:b/>
          <w:lang w:val="en-GB"/>
        </w:rPr>
        <w:t>s</w:t>
      </w:r>
    </w:p>
    <w:p w:rsidR="003A78F3" w:rsidRDefault="00C55B47">
      <w:pPr>
        <w:pStyle w:val="TO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r w:rsidRPr="003A78F3">
        <w:rPr>
          <w:rFonts w:cs="Calibri"/>
          <w:lang w:val="en-GB"/>
        </w:rPr>
        <w:fldChar w:fldCharType="begin"/>
      </w:r>
      <w:r w:rsidR="00622566" w:rsidRPr="003A78F3">
        <w:rPr>
          <w:rFonts w:cs="Calibri"/>
          <w:lang w:val="en-GB"/>
        </w:rPr>
        <w:instrText xml:space="preserve">TOC \o "1-3" \h \u </w:instrText>
      </w:r>
      <w:r w:rsidRPr="003A78F3">
        <w:rPr>
          <w:rFonts w:cs="Calibri"/>
          <w:lang w:val="en-GB"/>
        </w:rPr>
        <w:fldChar w:fldCharType="separate"/>
      </w:r>
      <w:hyperlink w:anchor="_Toc473971982" w:history="1">
        <w:r w:rsidR="003A78F3" w:rsidRPr="00BC30F0">
          <w:rPr>
            <w:rStyle w:val="Hyperlink"/>
            <w:rFonts w:cs="Calibri"/>
            <w:noProof/>
            <w:lang w:val="en-GB"/>
          </w:rPr>
          <w:t>I Introduction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_Toc473971982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6</w:t>
        </w:r>
        <w:r w:rsidR="003A78F3">
          <w:rPr>
            <w:noProof/>
          </w:rPr>
          <w:fldChar w:fldCharType="end"/>
        </w:r>
      </w:hyperlink>
    </w:p>
    <w:p w:rsidR="003A78F3" w:rsidRDefault="007B7870">
      <w:pPr>
        <w:pStyle w:val="TO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83" w:history="1">
        <w:r w:rsidR="003A78F3" w:rsidRPr="00BC30F0">
          <w:rPr>
            <w:rStyle w:val="Hyperlink"/>
            <w:rFonts w:cs="Calibri"/>
            <w:noProof/>
            <w:lang w:val="en-GB"/>
          </w:rPr>
          <w:t>II Data collection methodology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_Toc473971983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7</w:t>
        </w:r>
        <w:r w:rsidR="003A78F3">
          <w:rPr>
            <w:noProof/>
          </w:rPr>
          <w:fldChar w:fldCharType="end"/>
        </w:r>
      </w:hyperlink>
    </w:p>
    <w:p w:rsidR="003A78F3" w:rsidRDefault="007B7870">
      <w:pPr>
        <w:pStyle w:val="TO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84" w:history="1">
        <w:r w:rsidR="003A78F3" w:rsidRPr="00BC30F0">
          <w:rPr>
            <w:rStyle w:val="Hyperlink"/>
            <w:rFonts w:cs="Calibri"/>
            <w:noProof/>
            <w:lang w:val="en-GB"/>
          </w:rPr>
          <w:t>III Findings of the public finance reform monitoring in BiH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_Toc473971984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7</w:t>
        </w:r>
        <w:r w:rsidR="003A78F3">
          <w:rPr>
            <w:noProof/>
          </w:rPr>
          <w:fldChar w:fldCharType="end"/>
        </w:r>
      </w:hyperlink>
    </w:p>
    <w:p w:rsidR="003A78F3" w:rsidRDefault="007B7870" w:rsidP="003A78F3">
      <w:pPr>
        <w:pStyle w:val="TOC2"/>
        <w:tabs>
          <w:tab w:val="right" w:leader="dot" w:pos="9487"/>
        </w:tabs>
        <w:ind w:left="480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85" w:history="1">
        <w:r w:rsidR="003A78F3" w:rsidRPr="00BC30F0">
          <w:rPr>
            <w:rStyle w:val="Hyperlink"/>
            <w:rFonts w:cs="Calibri"/>
            <w:noProof/>
            <w:lang w:val="en-GB"/>
          </w:rPr>
          <w:t>1. Increasing efficiency and effectiveness of budget management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_Toc473971985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8</w:t>
        </w:r>
        <w:r w:rsidR="003A78F3">
          <w:rPr>
            <w:noProof/>
          </w:rPr>
          <w:fldChar w:fldCharType="end"/>
        </w:r>
      </w:hyperlink>
    </w:p>
    <w:p w:rsidR="003A78F3" w:rsidRDefault="007B7870" w:rsidP="003A78F3">
      <w:pPr>
        <w:pStyle w:val="TOC3"/>
        <w:tabs>
          <w:tab w:val="right" w:leader="dot" w:pos="9487"/>
        </w:tabs>
        <w:ind w:left="960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86" w:history="1">
        <w:r w:rsidR="003A78F3" w:rsidRPr="00BC30F0">
          <w:rPr>
            <w:rStyle w:val="Hyperlink"/>
            <w:rFonts w:cs="Calibri"/>
            <w:noProof/>
            <w:lang w:val="en-GB"/>
          </w:rPr>
          <w:t>1.1 Transparent expenditure of public funds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_Toc473971986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11</w:t>
        </w:r>
        <w:r w:rsidR="003A78F3">
          <w:rPr>
            <w:noProof/>
          </w:rPr>
          <w:fldChar w:fldCharType="end"/>
        </w:r>
      </w:hyperlink>
    </w:p>
    <w:p w:rsidR="003A78F3" w:rsidRDefault="007B7870" w:rsidP="003A78F3">
      <w:pPr>
        <w:pStyle w:val="TOC3"/>
        <w:tabs>
          <w:tab w:val="right" w:leader="dot" w:pos="9487"/>
        </w:tabs>
        <w:ind w:left="960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87" w:history="1">
        <w:r w:rsidR="003A78F3" w:rsidRPr="00BC30F0">
          <w:rPr>
            <w:rStyle w:val="Hyperlink"/>
            <w:rFonts w:cs="Calibri"/>
            <w:noProof/>
            <w:lang w:val="en-GB"/>
          </w:rPr>
          <w:t>1.2 Communication between management of institutions and finance units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_Toc473971987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13</w:t>
        </w:r>
        <w:r w:rsidR="003A78F3">
          <w:rPr>
            <w:noProof/>
          </w:rPr>
          <w:fldChar w:fldCharType="end"/>
        </w:r>
      </w:hyperlink>
    </w:p>
    <w:p w:rsidR="003A78F3" w:rsidRDefault="007B7870" w:rsidP="003A78F3">
      <w:pPr>
        <w:pStyle w:val="TOC3"/>
        <w:tabs>
          <w:tab w:val="right" w:leader="dot" w:pos="9487"/>
        </w:tabs>
        <w:ind w:left="960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88" w:history="1">
        <w:r w:rsidR="003A78F3" w:rsidRPr="00BC30F0">
          <w:rPr>
            <w:rStyle w:val="Hyperlink"/>
            <w:rFonts w:cs="Calibri"/>
            <w:noProof/>
            <w:lang w:val="en-GB"/>
          </w:rPr>
          <w:t>1.3 Introduction of programme-based budgeting in public administration in BiH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_Toc473971988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13</w:t>
        </w:r>
        <w:r w:rsidR="003A78F3">
          <w:rPr>
            <w:noProof/>
          </w:rPr>
          <w:fldChar w:fldCharType="end"/>
        </w:r>
      </w:hyperlink>
    </w:p>
    <w:p w:rsidR="003A78F3" w:rsidRDefault="007B7870" w:rsidP="003A78F3">
      <w:pPr>
        <w:pStyle w:val="TOC3"/>
        <w:tabs>
          <w:tab w:val="right" w:leader="dot" w:pos="9487"/>
        </w:tabs>
        <w:ind w:left="960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89" w:history="1">
        <w:r w:rsidR="003A78F3" w:rsidRPr="00BC30F0">
          <w:rPr>
            <w:rStyle w:val="Hyperlink"/>
            <w:rFonts w:cs="Calibri"/>
            <w:noProof/>
            <w:lang w:val="en-GB"/>
          </w:rPr>
          <w:t>1.4 Including parliaments in the budget approval process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_Toc473971989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14</w:t>
        </w:r>
        <w:r w:rsidR="003A78F3">
          <w:rPr>
            <w:noProof/>
          </w:rPr>
          <w:fldChar w:fldCharType="end"/>
        </w:r>
      </w:hyperlink>
    </w:p>
    <w:p w:rsidR="003A78F3" w:rsidRDefault="007B7870" w:rsidP="003A78F3">
      <w:pPr>
        <w:pStyle w:val="TOC3"/>
        <w:tabs>
          <w:tab w:val="right" w:leader="dot" w:pos="9487"/>
        </w:tabs>
        <w:ind w:left="960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90" w:history="1">
        <w:r w:rsidR="003A78F3" w:rsidRPr="00BC30F0">
          <w:rPr>
            <w:rStyle w:val="Hyperlink"/>
            <w:rFonts w:cs="Calibri"/>
            <w:noProof/>
            <w:lang w:val="en-GB"/>
          </w:rPr>
          <w:t>1.5 Inclusion of extra-budgetary funds in the medium-term expenditure framework and budget process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_Toc473971990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15</w:t>
        </w:r>
        <w:r w:rsidR="003A78F3">
          <w:rPr>
            <w:noProof/>
          </w:rPr>
          <w:fldChar w:fldCharType="end"/>
        </w:r>
      </w:hyperlink>
    </w:p>
    <w:p w:rsidR="003A78F3" w:rsidRDefault="007B7870" w:rsidP="003A78F3">
      <w:pPr>
        <w:pStyle w:val="TOC2"/>
        <w:tabs>
          <w:tab w:val="right" w:leader="dot" w:pos="9487"/>
        </w:tabs>
        <w:ind w:left="480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91" w:history="1">
        <w:r w:rsidR="003A78F3" w:rsidRPr="00BC30F0">
          <w:rPr>
            <w:rStyle w:val="Hyperlink"/>
            <w:rFonts w:cs="Calibri"/>
            <w:noProof/>
            <w:lang w:val="en-GB"/>
          </w:rPr>
          <w:t>2. Improving the accounting framework and the treasury system operations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_Toc473971991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16</w:t>
        </w:r>
        <w:r w:rsidR="003A78F3">
          <w:rPr>
            <w:noProof/>
          </w:rPr>
          <w:fldChar w:fldCharType="end"/>
        </w:r>
      </w:hyperlink>
    </w:p>
    <w:p w:rsidR="003A78F3" w:rsidRDefault="007B7870" w:rsidP="003A78F3">
      <w:pPr>
        <w:pStyle w:val="TOC2"/>
        <w:tabs>
          <w:tab w:val="right" w:leader="dot" w:pos="9487"/>
        </w:tabs>
        <w:ind w:left="480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92" w:history="1">
        <w:r w:rsidR="003A78F3" w:rsidRPr="00BC30F0">
          <w:rPr>
            <w:rStyle w:val="Hyperlink"/>
            <w:rFonts w:cs="Calibri"/>
            <w:noProof/>
            <w:lang w:val="en-GB"/>
          </w:rPr>
          <w:t>3. Introduction of PIFC in full compliance with EU requirements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_Toc473971992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17</w:t>
        </w:r>
        <w:r w:rsidR="003A78F3">
          <w:rPr>
            <w:noProof/>
          </w:rPr>
          <w:fldChar w:fldCharType="end"/>
        </w:r>
      </w:hyperlink>
    </w:p>
    <w:p w:rsidR="003A78F3" w:rsidRDefault="007B7870" w:rsidP="003A78F3">
      <w:pPr>
        <w:pStyle w:val="TOC2"/>
        <w:tabs>
          <w:tab w:val="right" w:leader="dot" w:pos="9487"/>
        </w:tabs>
        <w:ind w:left="480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93" w:history="1">
        <w:r w:rsidR="003A78F3" w:rsidRPr="00BC30F0">
          <w:rPr>
            <w:rStyle w:val="Hyperlink"/>
            <w:rFonts w:cs="Calibri"/>
            <w:noProof/>
            <w:lang w:val="en-GB"/>
          </w:rPr>
          <w:t>4. Improving the organisational structure and investing in capacity-building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_Toc473971993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18</w:t>
        </w:r>
        <w:r w:rsidR="003A78F3">
          <w:rPr>
            <w:noProof/>
          </w:rPr>
          <w:fldChar w:fldCharType="end"/>
        </w:r>
      </w:hyperlink>
    </w:p>
    <w:p w:rsidR="003A78F3" w:rsidRDefault="007B7870" w:rsidP="003A78F3">
      <w:pPr>
        <w:pStyle w:val="TOC2"/>
        <w:tabs>
          <w:tab w:val="right" w:leader="dot" w:pos="9487"/>
        </w:tabs>
        <w:ind w:left="480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94" w:history="1">
        <w:r w:rsidR="003A78F3" w:rsidRPr="00BC30F0">
          <w:rPr>
            <w:rStyle w:val="Hyperlink"/>
            <w:rFonts w:cs="Calibri"/>
            <w:noProof/>
            <w:lang w:val="en-GB"/>
          </w:rPr>
          <w:t>5. Improvement of public debt management efficiency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_Toc473971994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19</w:t>
        </w:r>
        <w:r w:rsidR="003A78F3">
          <w:rPr>
            <w:noProof/>
          </w:rPr>
          <w:fldChar w:fldCharType="end"/>
        </w:r>
      </w:hyperlink>
    </w:p>
    <w:p w:rsidR="003A78F3" w:rsidRDefault="007B7870">
      <w:pPr>
        <w:pStyle w:val="TO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95" w:history="1">
        <w:r w:rsidR="003A78F3" w:rsidRPr="00BC30F0">
          <w:rPr>
            <w:rStyle w:val="Hyperlink"/>
            <w:rFonts w:cs="Calibri"/>
            <w:noProof/>
            <w:lang w:val="en-GB"/>
          </w:rPr>
          <w:t>IV Recommendations for achieving PAR objectives in the area of public finance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_Toc473971995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20</w:t>
        </w:r>
        <w:r w:rsidR="003A78F3">
          <w:rPr>
            <w:noProof/>
          </w:rPr>
          <w:fldChar w:fldCharType="end"/>
        </w:r>
      </w:hyperlink>
    </w:p>
    <w:p w:rsidR="003A78F3" w:rsidRDefault="007B7870">
      <w:pPr>
        <w:pStyle w:val="TO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96" w:history="1">
        <w:r w:rsidR="003A78F3" w:rsidRPr="00BC30F0">
          <w:rPr>
            <w:rStyle w:val="Hyperlink"/>
            <w:rFonts w:cs="Calibri"/>
            <w:noProof/>
            <w:lang w:val="en-GB"/>
          </w:rPr>
          <w:t>Annexes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_Toc473971996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22</w:t>
        </w:r>
        <w:r w:rsidR="003A78F3">
          <w:rPr>
            <w:noProof/>
          </w:rPr>
          <w:fldChar w:fldCharType="end"/>
        </w:r>
      </w:hyperlink>
    </w:p>
    <w:p w:rsidR="003A78F3" w:rsidRDefault="007B7870" w:rsidP="003A78F3">
      <w:pPr>
        <w:pStyle w:val="TOC2"/>
        <w:tabs>
          <w:tab w:val="right" w:leader="dot" w:pos="9487"/>
        </w:tabs>
        <w:ind w:left="480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97" w:history="1">
        <w:r w:rsidR="003A78F3" w:rsidRPr="00BC30F0">
          <w:rPr>
            <w:rStyle w:val="Hyperlink"/>
            <w:rFonts w:cs="Calibri"/>
            <w:noProof/>
            <w:lang w:val="en-GB"/>
          </w:rPr>
          <w:t>Annex 1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_Toc473971997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22</w:t>
        </w:r>
        <w:r w:rsidR="003A78F3">
          <w:rPr>
            <w:noProof/>
          </w:rPr>
          <w:fldChar w:fldCharType="end"/>
        </w:r>
      </w:hyperlink>
    </w:p>
    <w:p w:rsidR="003A78F3" w:rsidRDefault="007B7870" w:rsidP="003A78F3">
      <w:pPr>
        <w:pStyle w:val="TOC2"/>
        <w:tabs>
          <w:tab w:val="right" w:leader="dot" w:pos="9487"/>
        </w:tabs>
        <w:ind w:left="480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sr-Latn-CS" w:eastAsia="sr-Latn-CS"/>
        </w:rPr>
      </w:pPr>
      <w:hyperlink w:anchor="_Toc473971998" w:history="1">
        <w:r w:rsidR="003A78F3" w:rsidRPr="00BC30F0">
          <w:rPr>
            <w:rStyle w:val="Hyperlink"/>
            <w:rFonts w:cs="Calibri"/>
            <w:noProof/>
            <w:lang w:val="en-GB"/>
          </w:rPr>
          <w:t>Annex 2</w:t>
        </w:r>
        <w:r w:rsidR="003A78F3">
          <w:rPr>
            <w:noProof/>
          </w:rPr>
          <w:tab/>
        </w:r>
        <w:r w:rsidR="003A78F3">
          <w:rPr>
            <w:noProof/>
          </w:rPr>
          <w:fldChar w:fldCharType="begin"/>
        </w:r>
        <w:r w:rsidR="003A78F3">
          <w:rPr>
            <w:noProof/>
          </w:rPr>
          <w:instrText xml:space="preserve"> PAGEREF _Toc473971998 \h </w:instrText>
        </w:r>
        <w:r w:rsidR="003A78F3">
          <w:rPr>
            <w:noProof/>
          </w:rPr>
        </w:r>
        <w:r w:rsidR="003A78F3">
          <w:rPr>
            <w:noProof/>
          </w:rPr>
          <w:fldChar w:fldCharType="separate"/>
        </w:r>
        <w:r w:rsidR="00684272">
          <w:rPr>
            <w:noProof/>
          </w:rPr>
          <w:t>23</w:t>
        </w:r>
        <w:r w:rsidR="003A78F3">
          <w:rPr>
            <w:noProof/>
          </w:rPr>
          <w:fldChar w:fldCharType="end"/>
        </w:r>
      </w:hyperlink>
    </w:p>
    <w:p w:rsidR="00A97C31" w:rsidRPr="003A78F3" w:rsidRDefault="00C55B47">
      <w:pPr>
        <w:rPr>
          <w:rFonts w:cs="Calibri"/>
          <w:lang w:val="en-GB"/>
        </w:rPr>
      </w:pPr>
      <w:r w:rsidRPr="003A78F3">
        <w:rPr>
          <w:rFonts w:cs="Calibri"/>
          <w:lang w:val="en-GB"/>
        </w:rPr>
        <w:fldChar w:fldCharType="end"/>
      </w:r>
    </w:p>
    <w:p w:rsidR="00A97C31" w:rsidRPr="003A78F3" w:rsidRDefault="00A97C31">
      <w:pPr>
        <w:pStyle w:val="Heading1"/>
        <w:jc w:val="center"/>
        <w:rPr>
          <w:rFonts w:ascii="Calibri" w:hAnsi="Calibri" w:cs="Calibri" w:hint="default"/>
          <w:sz w:val="32"/>
          <w:szCs w:val="32"/>
          <w:lang w:val="en-GB"/>
        </w:rPr>
      </w:pPr>
    </w:p>
    <w:p w:rsidR="00A97C31" w:rsidRPr="003A78F3" w:rsidRDefault="00A97C31">
      <w:pPr>
        <w:pStyle w:val="Heading1"/>
        <w:jc w:val="center"/>
        <w:rPr>
          <w:rFonts w:ascii="Calibri" w:hAnsi="Calibri" w:cs="Calibri" w:hint="default"/>
          <w:sz w:val="32"/>
          <w:szCs w:val="32"/>
          <w:lang w:val="en-GB"/>
        </w:rPr>
      </w:pPr>
    </w:p>
    <w:p w:rsidR="00A97C31" w:rsidRPr="003A78F3" w:rsidRDefault="00051461" w:rsidP="00403657">
      <w:pPr>
        <w:pStyle w:val="Heading1"/>
        <w:spacing w:line="240" w:lineRule="auto"/>
        <w:jc w:val="center"/>
        <w:rPr>
          <w:rFonts w:ascii="Calibri" w:hAnsi="Calibri" w:cs="Calibri" w:hint="default"/>
          <w:sz w:val="32"/>
          <w:szCs w:val="32"/>
          <w:lang w:val="en-GB"/>
        </w:rPr>
      </w:pPr>
      <w:r w:rsidRPr="003A78F3">
        <w:rPr>
          <w:rFonts w:ascii="Calibri" w:hAnsi="Calibri" w:cs="Calibri" w:hint="default"/>
          <w:sz w:val="32"/>
          <w:szCs w:val="32"/>
          <w:lang w:val="en-GB"/>
        </w:rPr>
        <w:br w:type="page"/>
      </w:r>
      <w:bookmarkStart w:id="1" w:name="_Toc473971982"/>
      <w:r w:rsidR="00622566" w:rsidRPr="003A78F3">
        <w:rPr>
          <w:rFonts w:ascii="Calibri" w:hAnsi="Calibri" w:cs="Calibri" w:hint="default"/>
          <w:sz w:val="32"/>
          <w:szCs w:val="32"/>
          <w:lang w:val="en-GB"/>
        </w:rPr>
        <w:lastRenderedPageBreak/>
        <w:t>I Introduction</w:t>
      </w:r>
      <w:bookmarkEnd w:id="1"/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Council of Ministers of Bosnia and Herzegovina (BiH), the </w:t>
      </w:r>
      <w:r w:rsidR="009E2F55" w:rsidRPr="003A78F3">
        <w:rPr>
          <w:rFonts w:cs="Calibri"/>
          <w:lang w:val="en-GB"/>
        </w:rPr>
        <w:t xml:space="preserve">Government of the </w:t>
      </w:r>
      <w:r w:rsidRPr="003A78F3">
        <w:rPr>
          <w:rFonts w:cs="Calibri"/>
          <w:lang w:val="en-GB"/>
        </w:rPr>
        <w:t>Federation of B</w:t>
      </w:r>
      <w:r w:rsidR="003A78F3">
        <w:rPr>
          <w:rFonts w:cs="Calibri"/>
          <w:lang w:val="en-GB"/>
        </w:rPr>
        <w:t>osnia and Herzegovina</w:t>
      </w:r>
      <w:r w:rsidRPr="003A78F3">
        <w:rPr>
          <w:rFonts w:cs="Calibri"/>
          <w:lang w:val="en-GB"/>
        </w:rPr>
        <w:t xml:space="preserve"> (FBiH)</w:t>
      </w:r>
      <w:r w:rsidR="009E2F55" w:rsidRPr="003A78F3">
        <w:rPr>
          <w:rFonts w:cs="Calibri"/>
          <w:lang w:val="en-GB"/>
        </w:rPr>
        <w:t>, the Government of the Republika Srpska</w:t>
      </w:r>
      <w:r w:rsidRPr="003A78F3">
        <w:rPr>
          <w:rFonts w:cs="Calibri"/>
          <w:lang w:val="en-GB"/>
        </w:rPr>
        <w:t xml:space="preserve"> (RS) and the </w:t>
      </w:r>
      <w:r w:rsidR="009E2F55" w:rsidRPr="003A78F3">
        <w:rPr>
          <w:rFonts w:cs="Calibri"/>
          <w:lang w:val="en-GB"/>
        </w:rPr>
        <w:t>Government of the Brč</w:t>
      </w:r>
      <w:r w:rsidRPr="003A78F3">
        <w:rPr>
          <w:rFonts w:cs="Calibri"/>
          <w:lang w:val="en-GB"/>
        </w:rPr>
        <w:t>ko District of Bosnia and Herzegovina (</w:t>
      </w:r>
      <w:r w:rsidR="009E2F55" w:rsidRPr="003A78F3">
        <w:rPr>
          <w:rFonts w:cs="Calibri"/>
          <w:lang w:val="en-GB"/>
        </w:rPr>
        <w:t xml:space="preserve">BD </w:t>
      </w:r>
      <w:r w:rsidRPr="003A78F3">
        <w:rPr>
          <w:rFonts w:cs="Calibri"/>
          <w:lang w:val="en-GB"/>
        </w:rPr>
        <w:t xml:space="preserve">BiH) adopted </w:t>
      </w:r>
      <w:r w:rsidR="007B2E3F" w:rsidRPr="003A78F3">
        <w:rPr>
          <w:rFonts w:cs="Calibri"/>
          <w:lang w:val="en-GB"/>
        </w:rPr>
        <w:t>the</w:t>
      </w:r>
      <w:r w:rsidRPr="003A78F3">
        <w:rPr>
          <w:rFonts w:cs="Calibri"/>
          <w:lang w:val="en-GB"/>
        </w:rPr>
        <w:t xml:space="preserve"> Public Administration Reform Strategy </w:t>
      </w:r>
      <w:r w:rsidR="009E2F55" w:rsidRPr="003A78F3">
        <w:rPr>
          <w:rFonts w:cs="Calibri"/>
          <w:lang w:val="en-GB"/>
        </w:rPr>
        <w:t xml:space="preserve">of </w:t>
      </w:r>
      <w:r w:rsidRPr="003A78F3">
        <w:rPr>
          <w:rFonts w:cs="Calibri"/>
          <w:lang w:val="en-GB"/>
        </w:rPr>
        <w:t xml:space="preserve">BiH in 2006, </w:t>
      </w:r>
      <w:r w:rsidR="007B2E3F" w:rsidRPr="003A78F3">
        <w:rPr>
          <w:rFonts w:cs="Calibri"/>
          <w:lang w:val="en-GB"/>
        </w:rPr>
        <w:t>assuming</w:t>
      </w:r>
      <w:r w:rsidRPr="003A78F3">
        <w:rPr>
          <w:rFonts w:cs="Calibri"/>
          <w:lang w:val="en-GB"/>
        </w:rPr>
        <w:t xml:space="preserve"> responsibility for </w:t>
      </w:r>
      <w:r w:rsidR="007B2E3F" w:rsidRPr="003A78F3">
        <w:rPr>
          <w:rFonts w:cs="Calibri"/>
          <w:lang w:val="en-GB"/>
        </w:rPr>
        <w:t xml:space="preserve">reform </w:t>
      </w:r>
      <w:r w:rsidRPr="003A78F3">
        <w:rPr>
          <w:rFonts w:cs="Calibri"/>
          <w:lang w:val="en-GB"/>
        </w:rPr>
        <w:t>implementation. By adopting th</w:t>
      </w:r>
      <w:r w:rsidR="007B2E3F" w:rsidRPr="003A78F3">
        <w:rPr>
          <w:rFonts w:cs="Calibri"/>
          <w:lang w:val="en-GB"/>
        </w:rPr>
        <w:t>e</w:t>
      </w:r>
      <w:r w:rsidRPr="003A78F3">
        <w:rPr>
          <w:rFonts w:cs="Calibri"/>
          <w:lang w:val="en-GB"/>
        </w:rPr>
        <w:t xml:space="preserve"> </w:t>
      </w:r>
      <w:r w:rsidR="007B2E3F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>trategy, the government</w:t>
      </w:r>
      <w:r w:rsidR="009E2F55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 </w:t>
      </w:r>
      <w:r w:rsidR="007B2E3F" w:rsidRPr="003A78F3">
        <w:rPr>
          <w:rFonts w:cs="Calibri"/>
          <w:lang w:val="en-GB"/>
        </w:rPr>
        <w:t>took on</w:t>
      </w:r>
      <w:r w:rsidRPr="003A78F3">
        <w:rPr>
          <w:rFonts w:cs="Calibri"/>
          <w:lang w:val="en-GB"/>
        </w:rPr>
        <w:t xml:space="preserve"> the obligation </w:t>
      </w:r>
      <w:r w:rsidR="004D1ECC" w:rsidRPr="003A78F3">
        <w:rPr>
          <w:rFonts w:cs="Calibri"/>
          <w:lang w:val="en-GB"/>
        </w:rPr>
        <w:t>to</w:t>
      </w:r>
      <w:r w:rsidRPr="003A78F3">
        <w:rPr>
          <w:rFonts w:cs="Calibri"/>
          <w:lang w:val="en-GB"/>
        </w:rPr>
        <w:t xml:space="preserve"> regularly inform the public on the </w:t>
      </w:r>
      <w:r w:rsidR="004D1ECC" w:rsidRPr="003A78F3">
        <w:rPr>
          <w:rFonts w:cs="Calibri"/>
          <w:lang w:val="en-GB"/>
        </w:rPr>
        <w:t xml:space="preserve">reform </w:t>
      </w:r>
      <w:r w:rsidRPr="003A78F3">
        <w:rPr>
          <w:rFonts w:cs="Calibri"/>
          <w:lang w:val="en-GB"/>
        </w:rPr>
        <w:t xml:space="preserve">progress </w:t>
      </w:r>
      <w:r w:rsidR="004D1ECC" w:rsidRPr="003A78F3">
        <w:rPr>
          <w:rFonts w:cs="Calibri"/>
          <w:lang w:val="en-GB"/>
        </w:rPr>
        <w:t>as well as</w:t>
      </w:r>
      <w:r w:rsidRPr="003A78F3">
        <w:rPr>
          <w:rFonts w:cs="Calibri"/>
          <w:lang w:val="en-GB"/>
        </w:rPr>
        <w:t xml:space="preserve"> </w:t>
      </w:r>
      <w:r w:rsidR="004D1ECC" w:rsidRPr="003A78F3">
        <w:rPr>
          <w:rFonts w:cs="Calibri"/>
          <w:lang w:val="en-GB"/>
        </w:rPr>
        <w:t>a</w:t>
      </w:r>
      <w:r w:rsidRPr="003A78F3">
        <w:rPr>
          <w:rFonts w:cs="Calibri"/>
          <w:lang w:val="en-GB"/>
        </w:rPr>
        <w:t xml:space="preserve"> commitment t</w:t>
      </w:r>
      <w:r w:rsidR="004D1ECC" w:rsidRPr="003A78F3">
        <w:rPr>
          <w:rFonts w:cs="Calibri"/>
          <w:lang w:val="en-GB"/>
        </w:rPr>
        <w:t>o revise it accordingly</w:t>
      </w:r>
      <w:r w:rsidRPr="003A78F3">
        <w:rPr>
          <w:rFonts w:cs="Calibri"/>
          <w:lang w:val="en-GB"/>
        </w:rPr>
        <w:t>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</w:t>
      </w:r>
      <w:r w:rsidR="007B2E3F" w:rsidRPr="003A78F3">
        <w:rPr>
          <w:rFonts w:cs="Calibri"/>
          <w:lang w:val="en-GB"/>
        </w:rPr>
        <w:t>public administration reform in Bosnia and Herzegovina is aimed at creating</w:t>
      </w:r>
      <w:r w:rsidRPr="003A78F3">
        <w:rPr>
          <w:rFonts w:cs="Calibri"/>
          <w:lang w:val="en-GB"/>
        </w:rPr>
        <w:t xml:space="preserve"> a public administration which will be </w:t>
      </w:r>
      <w:r w:rsidR="007B2E3F" w:rsidRPr="003A78F3">
        <w:rPr>
          <w:rFonts w:cs="Calibri"/>
          <w:lang w:val="en-GB"/>
        </w:rPr>
        <w:t xml:space="preserve">more </w:t>
      </w:r>
      <w:r w:rsidRPr="003A78F3">
        <w:rPr>
          <w:rFonts w:cs="Calibri"/>
          <w:lang w:val="en-GB"/>
        </w:rPr>
        <w:t xml:space="preserve">effective, efficient and accountable, and provide </w:t>
      </w:r>
      <w:r w:rsidR="00D90088" w:rsidRPr="003A78F3">
        <w:rPr>
          <w:rFonts w:cs="Calibri"/>
          <w:lang w:val="en-GB"/>
        </w:rPr>
        <w:t xml:space="preserve">better </w:t>
      </w:r>
      <w:r w:rsidRPr="003A78F3">
        <w:rPr>
          <w:rFonts w:cs="Calibri"/>
          <w:lang w:val="en-GB"/>
        </w:rPr>
        <w:t>quality services to their citizens at a lower cost</w:t>
      </w:r>
      <w:r w:rsidR="00D90088" w:rsidRPr="003A78F3">
        <w:rPr>
          <w:rFonts w:cs="Calibri"/>
          <w:lang w:val="en-GB"/>
        </w:rPr>
        <w:t>, on the basis of transparent and open procedures</w:t>
      </w:r>
      <w:r w:rsidRPr="003A78F3">
        <w:rPr>
          <w:rFonts w:cs="Calibri"/>
          <w:lang w:val="en-GB"/>
        </w:rPr>
        <w:t xml:space="preserve">.  </w:t>
      </w:r>
    </w:p>
    <w:p w:rsidR="00A97C31" w:rsidRPr="003A78F3" w:rsidRDefault="00D90088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Strategy is a </w:t>
      </w:r>
      <w:r w:rsidRPr="003A78F3">
        <w:rPr>
          <w:rFonts w:cs="Calibri"/>
          <w:lang w:val="en-GB"/>
        </w:rPr>
        <w:t>single</w:t>
      </w:r>
      <w:r w:rsidR="00622566" w:rsidRPr="003A78F3">
        <w:rPr>
          <w:rFonts w:cs="Calibri"/>
          <w:lang w:val="en-GB"/>
        </w:rPr>
        <w:t xml:space="preserve"> document </w:t>
      </w:r>
      <w:r w:rsidRPr="003A78F3">
        <w:rPr>
          <w:rFonts w:cs="Calibri"/>
          <w:lang w:val="en-GB"/>
        </w:rPr>
        <w:t>applicable to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>all levels of government in BiH. It</w:t>
      </w:r>
      <w:r w:rsidR="00622566" w:rsidRPr="003A78F3">
        <w:rPr>
          <w:rFonts w:cs="Calibri"/>
          <w:lang w:val="en-GB"/>
        </w:rPr>
        <w:t xml:space="preserve"> provides a</w:t>
      </w:r>
      <w:r w:rsidR="003A78F3">
        <w:rPr>
          <w:rFonts w:cs="Calibri"/>
          <w:lang w:val="en-GB"/>
        </w:rPr>
        <w:t xml:space="preserve"> strategic framework for reform.</w:t>
      </w:r>
      <w:r w:rsidR="00622566" w:rsidRPr="003A78F3">
        <w:rPr>
          <w:rFonts w:cs="Calibri"/>
          <w:lang w:val="en-GB"/>
        </w:rPr>
        <w:t xml:space="preserve"> </w:t>
      </w:r>
      <w:r w:rsidR="003A78F3" w:rsidRPr="003A78F3">
        <w:rPr>
          <w:rFonts w:cs="Calibri"/>
          <w:lang w:val="en-GB"/>
        </w:rPr>
        <w:t>C</w:t>
      </w:r>
      <w:r w:rsidR="00622566" w:rsidRPr="003A78F3">
        <w:rPr>
          <w:rFonts w:cs="Calibri"/>
          <w:lang w:val="en-GB"/>
        </w:rPr>
        <w:t xml:space="preserve">oncrete actions, measures, deadlines and </w:t>
      </w:r>
      <w:r w:rsidRPr="003A78F3">
        <w:rPr>
          <w:rFonts w:cs="Calibri"/>
          <w:lang w:val="en-GB"/>
        </w:rPr>
        <w:t xml:space="preserve">competent </w:t>
      </w:r>
      <w:r w:rsidR="00622566" w:rsidRPr="003A78F3">
        <w:rPr>
          <w:rFonts w:cs="Calibri"/>
          <w:lang w:val="en-GB"/>
        </w:rPr>
        <w:t xml:space="preserve">institutions </w:t>
      </w:r>
      <w:r w:rsidR="00CE5C40" w:rsidRPr="003A78F3">
        <w:rPr>
          <w:rFonts w:cs="Calibri"/>
          <w:lang w:val="en-GB"/>
        </w:rPr>
        <w:t>were defined</w:t>
      </w:r>
      <w:r w:rsidR="00622566" w:rsidRPr="003A78F3">
        <w:rPr>
          <w:rFonts w:cs="Calibri"/>
          <w:lang w:val="en-GB"/>
        </w:rPr>
        <w:t xml:space="preserve"> in</w:t>
      </w:r>
      <w:r w:rsidR="00CE5C40" w:rsidRPr="003A78F3">
        <w:rPr>
          <w:rFonts w:cs="Calibri"/>
          <w:lang w:val="en-GB"/>
        </w:rPr>
        <w:t xml:space="preserve"> the first Action Plan for the I</w:t>
      </w:r>
      <w:r w:rsidR="00622566" w:rsidRPr="003A78F3">
        <w:rPr>
          <w:rFonts w:cs="Calibri"/>
          <w:lang w:val="en-GB"/>
        </w:rPr>
        <w:t>mplementation of the Strategy, which was adopted together with the Strategy.</w:t>
      </w:r>
      <w:r w:rsidR="00AE1390">
        <w:rPr>
          <w:rFonts w:cs="Calibri"/>
          <w:lang w:val="en-GB"/>
        </w:rPr>
        <w:t xml:space="preserve"> 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Based on the analysis </w:t>
      </w:r>
      <w:r w:rsidR="00CE5C40" w:rsidRPr="003A78F3">
        <w:rPr>
          <w:rFonts w:cs="Calibri"/>
          <w:lang w:val="en-GB"/>
        </w:rPr>
        <w:t xml:space="preserve">of the situation </w:t>
      </w:r>
      <w:r w:rsidRPr="003A78F3">
        <w:rPr>
          <w:rFonts w:cs="Calibri"/>
          <w:lang w:val="en-GB"/>
        </w:rPr>
        <w:t xml:space="preserve">in reform areas and the progress made in the implementation of </w:t>
      </w:r>
      <w:r w:rsidR="00CE5C40" w:rsidRPr="003A78F3">
        <w:rPr>
          <w:rFonts w:cs="Calibri"/>
          <w:lang w:val="en-GB"/>
        </w:rPr>
        <w:t xml:space="preserve">measures envisaged under </w:t>
      </w:r>
      <w:r w:rsidRPr="003A78F3">
        <w:rPr>
          <w:rFonts w:cs="Calibri"/>
          <w:lang w:val="en-GB"/>
        </w:rPr>
        <w:t xml:space="preserve">the Action Plan, </w:t>
      </w:r>
      <w:r w:rsidR="00CE5C40" w:rsidRPr="003A78F3">
        <w:rPr>
          <w:rFonts w:cs="Calibri"/>
          <w:lang w:val="en-GB"/>
        </w:rPr>
        <w:t>a</w:t>
      </w:r>
      <w:r w:rsidRPr="003A78F3">
        <w:rPr>
          <w:rFonts w:cs="Calibri"/>
          <w:lang w:val="en-GB"/>
        </w:rPr>
        <w:t xml:space="preserve"> </w:t>
      </w:r>
      <w:r w:rsidR="00CE5C40" w:rsidRPr="003A78F3">
        <w:rPr>
          <w:rFonts w:cs="Calibri"/>
          <w:lang w:val="en-GB"/>
        </w:rPr>
        <w:t>draft R</w:t>
      </w:r>
      <w:r w:rsidRPr="003A78F3">
        <w:rPr>
          <w:rFonts w:cs="Calibri"/>
          <w:lang w:val="en-GB"/>
        </w:rPr>
        <w:t xml:space="preserve">evised Action </w:t>
      </w:r>
      <w:r w:rsidR="00CE5C40" w:rsidRPr="003A78F3">
        <w:rPr>
          <w:rFonts w:cs="Calibri"/>
          <w:lang w:val="en-GB"/>
        </w:rPr>
        <w:t>Plan 1 for the period 2010-2014 was prepared</w:t>
      </w:r>
      <w:r w:rsidRPr="003A78F3">
        <w:rPr>
          <w:rFonts w:cs="Calibri"/>
          <w:lang w:val="en-GB"/>
        </w:rPr>
        <w:t xml:space="preserve">. </w:t>
      </w:r>
      <w:r w:rsidR="00CE5C40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 xml:space="preserve">Revised Action Plan 1 (RAP1) </w:t>
      </w:r>
      <w:r w:rsidR="00CE5C40" w:rsidRPr="003A78F3">
        <w:rPr>
          <w:rFonts w:cs="Calibri"/>
          <w:lang w:val="en-GB"/>
        </w:rPr>
        <w:t>was</w:t>
      </w:r>
      <w:r w:rsidRPr="003A78F3">
        <w:rPr>
          <w:rFonts w:cs="Calibri"/>
          <w:lang w:val="en-GB"/>
        </w:rPr>
        <w:t xml:space="preserve"> </w:t>
      </w:r>
      <w:r w:rsidR="00CE5C40" w:rsidRPr="003A78F3">
        <w:rPr>
          <w:rFonts w:cs="Calibri"/>
          <w:lang w:val="en-GB"/>
        </w:rPr>
        <w:t xml:space="preserve">adopted </w:t>
      </w:r>
      <w:r w:rsidRPr="003A78F3">
        <w:rPr>
          <w:rFonts w:cs="Calibri"/>
          <w:lang w:val="en-GB"/>
        </w:rPr>
        <w:t>by all</w:t>
      </w:r>
      <w:r w:rsidR="00CE5C40" w:rsidRPr="003A78F3">
        <w:rPr>
          <w:rFonts w:cs="Calibri"/>
          <w:lang w:val="en-GB"/>
        </w:rPr>
        <w:t xml:space="preserve"> governments in BiH in 2011, thus becoming an</w:t>
      </w:r>
      <w:r w:rsidRPr="003A78F3">
        <w:rPr>
          <w:rFonts w:cs="Calibri"/>
          <w:lang w:val="en-GB"/>
        </w:rPr>
        <w:t xml:space="preserve"> operational document </w:t>
      </w:r>
      <w:r w:rsidR="00CE5C40" w:rsidRPr="003A78F3">
        <w:rPr>
          <w:rFonts w:cs="Calibri"/>
          <w:lang w:val="en-GB"/>
        </w:rPr>
        <w:t xml:space="preserve">as well as </w:t>
      </w:r>
      <w:r w:rsidRPr="003A78F3">
        <w:rPr>
          <w:rFonts w:cs="Calibri"/>
          <w:lang w:val="en-GB"/>
        </w:rPr>
        <w:t>the basis for the implementation of the Public Administration Reform Strategy in Bosnia and Herzegovina.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Activities to achieve the objectives in the area of ​​public finance are defined </w:t>
      </w:r>
      <w:r w:rsidR="00CE5C40" w:rsidRPr="003A78F3">
        <w:rPr>
          <w:rFonts w:cs="Calibri"/>
          <w:lang w:val="en-GB"/>
        </w:rPr>
        <w:t>in RAP 1</w:t>
      </w:r>
      <w:r w:rsidRPr="003A78F3">
        <w:rPr>
          <w:rFonts w:cs="Calibri"/>
          <w:lang w:val="en-GB"/>
        </w:rPr>
        <w:t xml:space="preserve"> and include</w:t>
      </w:r>
      <w:r w:rsidR="00DA41BC" w:rsidRPr="003A78F3">
        <w:rPr>
          <w:rFonts w:cs="Calibri"/>
          <w:lang w:val="en-GB"/>
        </w:rPr>
        <w:t xml:space="preserve"> eight chapters: policy dimension</w:t>
      </w:r>
      <w:r w:rsidRPr="003A78F3">
        <w:rPr>
          <w:rFonts w:cs="Calibri"/>
          <w:lang w:val="en-GB"/>
        </w:rPr>
        <w:t xml:space="preserve"> of</w:t>
      </w:r>
      <w:r w:rsidR="006313B5" w:rsidRPr="003A78F3">
        <w:rPr>
          <w:rFonts w:cs="Calibri"/>
          <w:lang w:val="en-GB"/>
        </w:rPr>
        <w:t xml:space="preserve"> the</w:t>
      </w:r>
      <w:r w:rsidRPr="003A78F3">
        <w:rPr>
          <w:rFonts w:cs="Calibri"/>
          <w:lang w:val="en-GB"/>
        </w:rPr>
        <w:t xml:space="preserve"> public finance</w:t>
      </w:r>
      <w:r w:rsidR="006313B5" w:rsidRPr="003A78F3">
        <w:rPr>
          <w:rFonts w:cs="Calibri"/>
          <w:lang w:val="en-GB"/>
        </w:rPr>
        <w:t xml:space="preserve"> system</w:t>
      </w:r>
      <w:r w:rsidRPr="003A78F3">
        <w:rPr>
          <w:rFonts w:cs="Calibri"/>
          <w:lang w:val="en-GB"/>
        </w:rPr>
        <w:t xml:space="preserve">; </w:t>
      </w:r>
      <w:r w:rsidR="00582ED3" w:rsidRPr="003A78F3">
        <w:rPr>
          <w:rFonts w:cs="Calibri"/>
          <w:lang w:val="en-GB"/>
        </w:rPr>
        <w:t>increasing</w:t>
      </w:r>
      <w:r w:rsidRPr="003A78F3">
        <w:rPr>
          <w:rFonts w:cs="Calibri"/>
          <w:lang w:val="en-GB"/>
        </w:rPr>
        <w:t xml:space="preserve"> efficiency and effectiveness of bu</w:t>
      </w:r>
      <w:r w:rsidR="0082121C" w:rsidRPr="003A78F3">
        <w:rPr>
          <w:rFonts w:cs="Calibri"/>
          <w:lang w:val="en-GB"/>
        </w:rPr>
        <w:t xml:space="preserve">dget management; improving </w:t>
      </w:r>
      <w:r w:rsidR="006313B5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>accounting framework and the treasury system</w:t>
      </w:r>
      <w:r w:rsidR="00FA68B3" w:rsidRPr="003A78F3">
        <w:rPr>
          <w:rFonts w:cs="Calibri"/>
          <w:lang w:val="en-GB"/>
        </w:rPr>
        <w:t xml:space="preserve"> operations</w:t>
      </w:r>
      <w:r w:rsidRPr="003A78F3">
        <w:rPr>
          <w:rFonts w:cs="Calibri"/>
          <w:lang w:val="en-GB"/>
        </w:rPr>
        <w:t xml:space="preserve">; introduction of PIFC in </w:t>
      </w:r>
      <w:r w:rsidR="00FA68B3" w:rsidRPr="003A78F3">
        <w:rPr>
          <w:rFonts w:cs="Calibri"/>
          <w:lang w:val="en-GB"/>
        </w:rPr>
        <w:t>full compliance with</w:t>
      </w:r>
      <w:r w:rsidRPr="003A78F3">
        <w:rPr>
          <w:rFonts w:cs="Calibri"/>
          <w:lang w:val="en-GB"/>
        </w:rPr>
        <w:t xml:space="preserve"> EU </w:t>
      </w:r>
      <w:r w:rsidR="00FA68B3" w:rsidRPr="003A78F3">
        <w:rPr>
          <w:rFonts w:cs="Calibri"/>
          <w:lang w:val="en-GB"/>
        </w:rPr>
        <w:t>requirements; improving</w:t>
      </w:r>
      <w:r w:rsidRPr="003A78F3">
        <w:rPr>
          <w:rFonts w:cs="Calibri"/>
          <w:lang w:val="en-GB"/>
        </w:rPr>
        <w:t xml:space="preserve"> the organi</w:t>
      </w:r>
      <w:r w:rsidR="00DA41BC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>ational stru</w:t>
      </w:r>
      <w:r w:rsidR="00FA68B3" w:rsidRPr="003A78F3">
        <w:rPr>
          <w:rFonts w:cs="Calibri"/>
          <w:lang w:val="en-GB"/>
        </w:rPr>
        <w:t>cture and investing in capacity-</w:t>
      </w:r>
      <w:r w:rsidRPr="003A78F3">
        <w:rPr>
          <w:rFonts w:cs="Calibri"/>
          <w:lang w:val="en-GB"/>
        </w:rPr>
        <w:t xml:space="preserve">building; </w:t>
      </w:r>
      <w:r w:rsidR="00FD77F2" w:rsidRPr="003A78F3">
        <w:rPr>
          <w:rFonts w:cs="Calibri"/>
          <w:lang w:val="en-GB"/>
        </w:rPr>
        <w:t>public-private partnership development</w:t>
      </w:r>
      <w:r w:rsidRPr="003A78F3">
        <w:rPr>
          <w:rFonts w:cs="Calibri"/>
          <w:lang w:val="en-GB"/>
        </w:rPr>
        <w:t>; public procurement system</w:t>
      </w:r>
      <w:r w:rsidR="00DA41BC" w:rsidRPr="003A78F3">
        <w:rPr>
          <w:rFonts w:cs="Calibri"/>
          <w:lang w:val="en-GB"/>
        </w:rPr>
        <w:t>;</w:t>
      </w:r>
      <w:r w:rsidRPr="003A78F3">
        <w:rPr>
          <w:rFonts w:cs="Calibri"/>
          <w:lang w:val="en-GB"/>
        </w:rPr>
        <w:t xml:space="preserve"> and </w:t>
      </w:r>
      <w:r w:rsidR="00FD77F2" w:rsidRPr="003A78F3">
        <w:rPr>
          <w:rFonts w:cs="Calibri"/>
          <w:lang w:val="en-GB"/>
        </w:rPr>
        <w:t xml:space="preserve">improvement of </w:t>
      </w:r>
      <w:r w:rsidRPr="003A78F3">
        <w:rPr>
          <w:rFonts w:cs="Calibri"/>
          <w:lang w:val="en-GB"/>
        </w:rPr>
        <w:t>public debt management</w:t>
      </w:r>
      <w:r w:rsidR="00FD77F2" w:rsidRPr="003A78F3">
        <w:rPr>
          <w:rFonts w:cs="Calibri"/>
          <w:lang w:val="en-GB"/>
        </w:rPr>
        <w:t xml:space="preserve"> efficiency</w:t>
      </w:r>
      <w:r w:rsidRPr="003A78F3">
        <w:rPr>
          <w:rFonts w:cs="Calibri"/>
          <w:lang w:val="en-GB"/>
        </w:rPr>
        <w:t>.</w:t>
      </w:r>
    </w:p>
    <w:p w:rsidR="00A97C31" w:rsidRPr="003A78F3" w:rsidRDefault="00622566" w:rsidP="00403657">
      <w:pPr>
        <w:spacing w:after="0"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This report does not include chapter</w:t>
      </w:r>
      <w:r w:rsidR="00B94524" w:rsidRPr="003A78F3">
        <w:rPr>
          <w:rFonts w:cs="Calibri"/>
          <w:lang w:val="en-GB"/>
        </w:rPr>
        <w:t>s on policy dimension</w:t>
      </w:r>
      <w:r w:rsidRPr="003A78F3">
        <w:rPr>
          <w:rFonts w:cs="Calibri"/>
          <w:lang w:val="en-GB"/>
        </w:rPr>
        <w:t xml:space="preserve"> of the public finance system, </w:t>
      </w:r>
      <w:r w:rsidR="00B94524" w:rsidRPr="003A78F3">
        <w:rPr>
          <w:rFonts w:cs="Calibri"/>
          <w:lang w:val="en-GB"/>
        </w:rPr>
        <w:t xml:space="preserve">public-private partnership </w:t>
      </w:r>
      <w:r w:rsidRPr="003A78F3">
        <w:rPr>
          <w:rFonts w:cs="Calibri"/>
          <w:lang w:val="en-GB"/>
        </w:rPr>
        <w:t xml:space="preserve">development </w:t>
      </w:r>
      <w:r w:rsidR="00B94524" w:rsidRPr="003A78F3">
        <w:rPr>
          <w:rFonts w:cs="Calibri"/>
          <w:lang w:val="en-GB"/>
        </w:rPr>
        <w:t>and public procurement system</w:t>
      </w:r>
      <w:r w:rsidRPr="003A78F3">
        <w:rPr>
          <w:rFonts w:cs="Calibri"/>
          <w:lang w:val="en-GB"/>
        </w:rPr>
        <w:t xml:space="preserve"> because the institutions </w:t>
      </w:r>
      <w:r w:rsidR="00B94524" w:rsidRPr="003A78F3">
        <w:rPr>
          <w:rFonts w:cs="Calibri"/>
          <w:lang w:val="en-GB"/>
        </w:rPr>
        <w:t>that are in charge of implementation of these</w:t>
      </w:r>
      <w:r w:rsidRPr="003A78F3">
        <w:rPr>
          <w:rFonts w:cs="Calibri"/>
          <w:lang w:val="en-GB"/>
        </w:rPr>
        <w:t xml:space="preserve"> objectives were not subject to monitoring.  </w:t>
      </w:r>
    </w:p>
    <w:p w:rsidR="00403657" w:rsidRPr="003A78F3" w:rsidRDefault="00403657" w:rsidP="00403657">
      <w:pPr>
        <w:pStyle w:val="Heading1"/>
        <w:spacing w:line="240" w:lineRule="auto"/>
        <w:jc w:val="center"/>
        <w:rPr>
          <w:rFonts w:ascii="Calibri" w:hAnsi="Calibri" w:cs="Calibri" w:hint="default"/>
          <w:sz w:val="32"/>
          <w:szCs w:val="32"/>
          <w:lang w:val="en-GB"/>
        </w:rPr>
      </w:pPr>
    </w:p>
    <w:p w:rsidR="00403657" w:rsidRPr="003A78F3" w:rsidRDefault="00403657">
      <w:pPr>
        <w:widowControl/>
        <w:spacing w:after="0" w:line="240" w:lineRule="auto"/>
        <w:rPr>
          <w:rFonts w:cs="Calibri"/>
          <w:b/>
          <w:kern w:val="44"/>
          <w:sz w:val="32"/>
          <w:szCs w:val="32"/>
          <w:lang w:val="en-GB"/>
        </w:rPr>
      </w:pPr>
      <w:r w:rsidRPr="003A78F3">
        <w:rPr>
          <w:rFonts w:cs="Calibri"/>
          <w:sz w:val="32"/>
          <w:szCs w:val="32"/>
          <w:lang w:val="en-GB"/>
        </w:rPr>
        <w:br w:type="page"/>
      </w:r>
    </w:p>
    <w:p w:rsidR="00A97C31" w:rsidRPr="003A78F3" w:rsidRDefault="00403657" w:rsidP="00403657">
      <w:pPr>
        <w:pStyle w:val="Heading1"/>
        <w:spacing w:line="240" w:lineRule="auto"/>
        <w:jc w:val="center"/>
        <w:rPr>
          <w:rFonts w:ascii="Calibri" w:hAnsi="Calibri" w:cs="Calibri" w:hint="default"/>
          <w:sz w:val="32"/>
          <w:szCs w:val="32"/>
          <w:lang w:val="en-GB"/>
        </w:rPr>
      </w:pPr>
      <w:bookmarkStart w:id="2" w:name="_Toc473971983"/>
      <w:r w:rsidRPr="003A78F3">
        <w:rPr>
          <w:rFonts w:ascii="Calibri" w:hAnsi="Calibri" w:cs="Calibri" w:hint="default"/>
          <w:sz w:val="32"/>
          <w:szCs w:val="32"/>
          <w:lang w:val="en-GB"/>
        </w:rPr>
        <w:lastRenderedPageBreak/>
        <w:t xml:space="preserve">II </w:t>
      </w:r>
      <w:r w:rsidR="00B94524" w:rsidRPr="003A78F3">
        <w:rPr>
          <w:rFonts w:ascii="Calibri" w:hAnsi="Calibri" w:cs="Calibri" w:hint="default"/>
          <w:sz w:val="32"/>
          <w:szCs w:val="32"/>
          <w:lang w:val="en-GB"/>
        </w:rPr>
        <w:t>D</w:t>
      </w:r>
      <w:r w:rsidRPr="003A78F3">
        <w:rPr>
          <w:rFonts w:ascii="Calibri" w:hAnsi="Calibri" w:cs="Calibri" w:hint="default"/>
          <w:sz w:val="32"/>
          <w:szCs w:val="32"/>
          <w:lang w:val="en-GB"/>
        </w:rPr>
        <w:t>ata collection methodology</w:t>
      </w:r>
      <w:bookmarkEnd w:id="2"/>
    </w:p>
    <w:p w:rsidR="00A97C31" w:rsidRPr="003A78F3" w:rsidRDefault="00AB7DD9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Monitoring of reform results achieved </w:t>
      </w:r>
      <w:r w:rsidR="00B94524" w:rsidRPr="003A78F3">
        <w:rPr>
          <w:rFonts w:cs="Calibri"/>
          <w:lang w:val="en-GB"/>
        </w:rPr>
        <w:t>in the area of</w:t>
      </w:r>
      <w:r w:rsidR="00622566" w:rsidRPr="003A78F3">
        <w:rPr>
          <w:rFonts w:cs="Calibri"/>
          <w:lang w:val="en-GB"/>
        </w:rPr>
        <w:t xml:space="preserve"> public finance </w:t>
      </w:r>
      <w:r w:rsidRPr="003A78F3">
        <w:rPr>
          <w:rFonts w:cs="Calibri"/>
          <w:lang w:val="en-GB"/>
        </w:rPr>
        <w:t>in</w:t>
      </w:r>
      <w:r w:rsidR="00622566" w:rsidRPr="003A78F3">
        <w:rPr>
          <w:rFonts w:cs="Calibri"/>
          <w:lang w:val="en-GB"/>
        </w:rPr>
        <w:t xml:space="preserve"> 2014 includes </w:t>
      </w:r>
      <w:r w:rsidR="00B94524" w:rsidRPr="003A78F3">
        <w:rPr>
          <w:rFonts w:cs="Calibri"/>
          <w:lang w:val="en-GB"/>
        </w:rPr>
        <w:t xml:space="preserve">16 </w:t>
      </w:r>
      <w:r w:rsidR="00622566" w:rsidRPr="003A78F3">
        <w:rPr>
          <w:rFonts w:cs="Calibri"/>
          <w:lang w:val="en-GB"/>
        </w:rPr>
        <w:t xml:space="preserve">public institutions </w:t>
      </w:r>
      <w:r w:rsidR="00B94524" w:rsidRPr="003A78F3">
        <w:rPr>
          <w:rFonts w:cs="Calibri"/>
          <w:lang w:val="en-GB"/>
        </w:rPr>
        <w:t>at</w:t>
      </w:r>
      <w:r w:rsidR="00622566" w:rsidRPr="003A78F3">
        <w:rPr>
          <w:rFonts w:cs="Calibri"/>
          <w:lang w:val="en-GB"/>
        </w:rPr>
        <w:t xml:space="preserve"> the state and entity levels and </w:t>
      </w:r>
      <w:r w:rsidR="00B94524" w:rsidRPr="003A78F3">
        <w:rPr>
          <w:rFonts w:cs="Calibri"/>
          <w:lang w:val="en-GB"/>
        </w:rPr>
        <w:t xml:space="preserve">the level of the </w:t>
      </w:r>
      <w:r w:rsidR="00622566" w:rsidRPr="003A78F3">
        <w:rPr>
          <w:rFonts w:cs="Calibri"/>
          <w:lang w:val="en-GB"/>
        </w:rPr>
        <w:t>Br</w:t>
      </w:r>
      <w:r w:rsidR="00B94524" w:rsidRPr="003A78F3">
        <w:rPr>
          <w:rFonts w:cs="Calibri"/>
          <w:lang w:val="en-GB"/>
        </w:rPr>
        <w:t>č</w:t>
      </w:r>
      <w:r w:rsidR="00622566" w:rsidRPr="003A78F3">
        <w:rPr>
          <w:rFonts w:cs="Calibri"/>
          <w:lang w:val="en-GB"/>
        </w:rPr>
        <w:t>ko District</w:t>
      </w:r>
      <w:r w:rsidR="00622566" w:rsidRPr="003A78F3">
        <w:rPr>
          <w:rStyle w:val="FootnoteReference"/>
          <w:rFonts w:cs="Calibri"/>
          <w:lang w:val="en-GB"/>
        </w:rPr>
        <w:footnoteReference w:id="1"/>
      </w:r>
      <w:r w:rsidR="00622566" w:rsidRPr="003A78F3">
        <w:rPr>
          <w:rFonts w:cs="Calibri"/>
          <w:lang w:val="en-GB"/>
        </w:rPr>
        <w:t>.</w:t>
      </w:r>
      <w:r w:rsidRPr="003A78F3">
        <w:rPr>
          <w:rFonts w:cs="Calibri"/>
          <w:lang w:val="en-GB"/>
        </w:rPr>
        <w:t xml:space="preserve"> 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Of the 16 institutions included in the sample</w:t>
      </w:r>
      <w:r w:rsidR="00AB7DD9" w:rsidRPr="003A78F3">
        <w:rPr>
          <w:rFonts w:cs="Calibri"/>
          <w:lang w:val="en-GB"/>
        </w:rPr>
        <w:t>, those that</w:t>
      </w:r>
      <w:r w:rsidRPr="003A78F3">
        <w:rPr>
          <w:rFonts w:cs="Calibri"/>
          <w:lang w:val="en-GB"/>
        </w:rPr>
        <w:t xml:space="preserve"> refused to </w:t>
      </w:r>
      <w:r w:rsidR="00B94524" w:rsidRPr="003A78F3">
        <w:rPr>
          <w:rFonts w:cs="Calibri"/>
          <w:lang w:val="en-GB"/>
        </w:rPr>
        <w:t>fulfil</w:t>
      </w:r>
      <w:r w:rsidRPr="003A78F3">
        <w:rPr>
          <w:rFonts w:cs="Calibri"/>
          <w:lang w:val="en-GB"/>
        </w:rPr>
        <w:t xml:space="preserve"> their legal obligation to </w:t>
      </w:r>
      <w:r w:rsidR="00AB7DD9" w:rsidRPr="003A78F3">
        <w:rPr>
          <w:rFonts w:cs="Calibri"/>
          <w:lang w:val="en-GB"/>
        </w:rPr>
        <w:t>disclose</w:t>
      </w:r>
      <w:r w:rsidRPr="003A78F3">
        <w:rPr>
          <w:rFonts w:cs="Calibri"/>
          <w:lang w:val="en-GB"/>
        </w:rPr>
        <w:t xml:space="preserve"> information</w:t>
      </w:r>
      <w:r w:rsidR="00AB7DD9" w:rsidRPr="003A78F3">
        <w:rPr>
          <w:rFonts w:cs="Calibri"/>
          <w:lang w:val="en-GB"/>
        </w:rPr>
        <w:t xml:space="preserve"> of public importance</w:t>
      </w:r>
      <w:r w:rsidRPr="003A78F3">
        <w:rPr>
          <w:rFonts w:cs="Calibri"/>
          <w:lang w:val="en-GB"/>
        </w:rPr>
        <w:t xml:space="preserve"> and thus contribute to </w:t>
      </w:r>
      <w:r w:rsidR="00760A16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>monitoring are:</w:t>
      </w:r>
    </w:p>
    <w:p w:rsidR="00A97C31" w:rsidRPr="003A78F3" w:rsidRDefault="00E81D05" w:rsidP="00403657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at the BiH</w:t>
      </w:r>
      <w:r w:rsidR="00760A16" w:rsidRPr="003A78F3">
        <w:rPr>
          <w:rFonts w:cs="Calibri"/>
          <w:lang w:val="en-GB"/>
        </w:rPr>
        <w:t xml:space="preserve"> level:</w:t>
      </w:r>
      <w:r w:rsidRPr="003A78F3">
        <w:rPr>
          <w:rFonts w:cs="Calibri"/>
          <w:lang w:val="en-GB"/>
        </w:rPr>
        <w:t xml:space="preserve"> Ministry of Foreign Affairs </w:t>
      </w:r>
      <w:r w:rsidR="00760A16" w:rsidRPr="003A78F3">
        <w:rPr>
          <w:rFonts w:cs="Calibri"/>
          <w:lang w:val="en-GB"/>
        </w:rPr>
        <w:t xml:space="preserve">of BiH </w:t>
      </w:r>
      <w:r w:rsidRPr="003A78F3">
        <w:rPr>
          <w:rFonts w:cs="Calibri"/>
          <w:lang w:val="en-GB"/>
        </w:rPr>
        <w:t>and Ministry of Justice</w:t>
      </w:r>
      <w:r w:rsidR="00760A16" w:rsidRPr="003A78F3">
        <w:rPr>
          <w:rFonts w:cs="Calibri"/>
          <w:lang w:val="en-GB"/>
        </w:rPr>
        <w:t xml:space="preserve"> of BiH</w:t>
      </w:r>
      <w:r w:rsidRPr="003A78F3">
        <w:rPr>
          <w:rFonts w:cs="Calibri"/>
          <w:lang w:val="en-GB"/>
        </w:rPr>
        <w:t>,</w:t>
      </w:r>
    </w:p>
    <w:p w:rsidR="00A97C31" w:rsidRPr="003A78F3" w:rsidRDefault="00622566" w:rsidP="00403657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at the </w:t>
      </w:r>
      <w:r w:rsidR="00760A16" w:rsidRPr="003A78F3">
        <w:rPr>
          <w:rFonts w:cs="Calibri"/>
          <w:lang w:val="en-GB"/>
        </w:rPr>
        <w:t xml:space="preserve">FBiH </w:t>
      </w:r>
      <w:r w:rsidRPr="003A78F3">
        <w:rPr>
          <w:rFonts w:cs="Calibri"/>
          <w:lang w:val="en-GB"/>
        </w:rPr>
        <w:t>level: Ministry of Education</w:t>
      </w:r>
      <w:r w:rsidR="00760A16" w:rsidRPr="003A78F3">
        <w:rPr>
          <w:rFonts w:cs="Calibri"/>
          <w:lang w:val="en-GB"/>
        </w:rPr>
        <w:t xml:space="preserve"> of FBiH</w:t>
      </w:r>
      <w:r w:rsidRPr="003A78F3">
        <w:rPr>
          <w:rFonts w:cs="Calibri"/>
          <w:lang w:val="en-GB"/>
        </w:rPr>
        <w:t>,</w:t>
      </w:r>
    </w:p>
    <w:p w:rsidR="00A97C31" w:rsidRPr="003A78F3" w:rsidRDefault="00622566" w:rsidP="00403657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at the RS </w:t>
      </w:r>
      <w:r w:rsidR="00760A16" w:rsidRPr="003A78F3">
        <w:rPr>
          <w:rFonts w:cs="Calibri"/>
          <w:lang w:val="en-GB"/>
        </w:rPr>
        <w:t xml:space="preserve">level: </w:t>
      </w:r>
      <w:r w:rsidRPr="003A78F3">
        <w:rPr>
          <w:rFonts w:cs="Calibri"/>
          <w:lang w:val="en-GB"/>
        </w:rPr>
        <w:t xml:space="preserve">Ministry of Administration and Local Self-Government </w:t>
      </w:r>
      <w:r w:rsidR="00760A16" w:rsidRPr="003A78F3">
        <w:rPr>
          <w:rFonts w:cs="Calibri"/>
          <w:lang w:val="en-GB"/>
        </w:rPr>
        <w:t xml:space="preserve">of RS </w:t>
      </w:r>
      <w:r w:rsidRPr="003A78F3">
        <w:rPr>
          <w:rFonts w:cs="Calibri"/>
          <w:lang w:val="en-GB"/>
        </w:rPr>
        <w:t xml:space="preserve">and Ministry of Finance </w:t>
      </w:r>
      <w:r w:rsidR="00760A16" w:rsidRPr="003A78F3">
        <w:rPr>
          <w:rFonts w:cs="Calibri"/>
          <w:lang w:val="en-GB"/>
        </w:rPr>
        <w:t>of RS</w:t>
      </w:r>
      <w:r w:rsidR="00AE1390">
        <w:rPr>
          <w:rFonts w:cs="Calibri"/>
          <w:lang w:val="en-GB"/>
        </w:rPr>
        <w:t>,</w:t>
      </w:r>
    </w:p>
    <w:p w:rsidR="00A97C31" w:rsidRPr="003A78F3" w:rsidRDefault="00622566" w:rsidP="00403657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Institutions at the level of the </w:t>
      </w:r>
      <w:r w:rsidR="00B94524" w:rsidRPr="003A78F3">
        <w:rPr>
          <w:rFonts w:cs="Calibri"/>
          <w:lang w:val="en-GB"/>
        </w:rPr>
        <w:t>Brčko</w:t>
      </w:r>
      <w:r w:rsidRPr="003A78F3">
        <w:rPr>
          <w:rFonts w:cs="Calibri"/>
          <w:lang w:val="en-GB"/>
        </w:rPr>
        <w:t xml:space="preserve"> District did not submit data.</w:t>
      </w:r>
    </w:p>
    <w:p w:rsidR="00647EBE" w:rsidRPr="003A78F3" w:rsidRDefault="00647EBE" w:rsidP="00403657">
      <w:pPr>
        <w:spacing w:after="0" w:line="240" w:lineRule="auto"/>
        <w:jc w:val="both"/>
        <w:rPr>
          <w:rFonts w:cs="Calibri"/>
          <w:lang w:val="en-GB"/>
        </w:rPr>
      </w:pP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This shows that the above institutions</w:t>
      </w:r>
      <w:r w:rsidR="00760A16" w:rsidRPr="003A78F3">
        <w:rPr>
          <w:rFonts w:cs="Calibri"/>
          <w:lang w:val="en-GB"/>
        </w:rPr>
        <w:t xml:space="preserve"> are</w:t>
      </w:r>
      <w:r w:rsidRPr="003A78F3">
        <w:rPr>
          <w:rFonts w:cs="Calibri"/>
          <w:lang w:val="en-GB"/>
        </w:rPr>
        <w:t xml:space="preserve"> in the initial </w:t>
      </w:r>
      <w:r w:rsidR="00760A16" w:rsidRPr="003A78F3">
        <w:rPr>
          <w:rFonts w:cs="Calibri"/>
          <w:lang w:val="en-GB"/>
        </w:rPr>
        <w:t>stages</w:t>
      </w:r>
      <w:r w:rsidRPr="003A78F3">
        <w:rPr>
          <w:rFonts w:cs="Calibri"/>
          <w:lang w:val="en-GB"/>
        </w:rPr>
        <w:t xml:space="preserve"> of the reform process, and therefore refuse to participate in </w:t>
      </w:r>
      <w:r w:rsidR="00760A16" w:rsidRPr="003A78F3">
        <w:rPr>
          <w:rFonts w:cs="Calibri"/>
          <w:lang w:val="en-GB"/>
        </w:rPr>
        <w:t xml:space="preserve">the results </w:t>
      </w:r>
      <w:r w:rsidRPr="003A78F3">
        <w:rPr>
          <w:rFonts w:cs="Calibri"/>
          <w:lang w:val="en-GB"/>
        </w:rPr>
        <w:t xml:space="preserve">monitoring, but also </w:t>
      </w:r>
      <w:r w:rsidR="00760A16" w:rsidRPr="003A78F3">
        <w:rPr>
          <w:rFonts w:cs="Calibri"/>
          <w:lang w:val="en-GB"/>
        </w:rPr>
        <w:t>that</w:t>
      </w:r>
      <w:r w:rsidRPr="003A78F3">
        <w:rPr>
          <w:rFonts w:cs="Calibri"/>
          <w:lang w:val="en-GB"/>
        </w:rPr>
        <w:t xml:space="preserve"> these institutions </w:t>
      </w:r>
      <w:r w:rsidR="00760A16" w:rsidRPr="003A78F3">
        <w:rPr>
          <w:rFonts w:cs="Calibri"/>
          <w:lang w:val="en-GB"/>
        </w:rPr>
        <w:t>are not sensitised</w:t>
      </w:r>
      <w:r w:rsidRPr="003A78F3">
        <w:rPr>
          <w:rFonts w:cs="Calibri"/>
          <w:lang w:val="en-GB"/>
        </w:rPr>
        <w:t xml:space="preserve"> </w:t>
      </w:r>
      <w:r w:rsidR="00760A16" w:rsidRPr="003A78F3">
        <w:rPr>
          <w:rFonts w:cs="Calibri"/>
          <w:lang w:val="en-GB"/>
        </w:rPr>
        <w:t>to</w:t>
      </w:r>
      <w:r w:rsidRPr="003A78F3">
        <w:rPr>
          <w:rFonts w:cs="Calibri"/>
          <w:lang w:val="en-GB"/>
        </w:rPr>
        <w:t xml:space="preserve"> the need for </w:t>
      </w:r>
      <w:r w:rsidR="00760A16" w:rsidRPr="003A78F3">
        <w:rPr>
          <w:rFonts w:cs="Calibri"/>
          <w:lang w:val="en-GB"/>
        </w:rPr>
        <w:t xml:space="preserve">providing </w:t>
      </w:r>
      <w:r w:rsidRPr="003A78F3">
        <w:rPr>
          <w:rFonts w:cs="Calibri"/>
          <w:lang w:val="en-GB"/>
        </w:rPr>
        <w:t xml:space="preserve">the general public </w:t>
      </w:r>
      <w:r w:rsidR="00760A16" w:rsidRPr="003A78F3">
        <w:rPr>
          <w:rFonts w:cs="Calibri"/>
          <w:lang w:val="en-GB"/>
        </w:rPr>
        <w:t>with comprehensive</w:t>
      </w:r>
      <w:r w:rsidRPr="003A78F3">
        <w:rPr>
          <w:rFonts w:cs="Calibri"/>
          <w:lang w:val="en-GB"/>
        </w:rPr>
        <w:t xml:space="preserve"> present</w:t>
      </w:r>
      <w:r w:rsidR="00760A16" w:rsidRPr="003A78F3">
        <w:rPr>
          <w:rFonts w:cs="Calibri"/>
          <w:lang w:val="en-GB"/>
        </w:rPr>
        <w:t>ation of</w:t>
      </w:r>
      <w:r w:rsidRPr="003A78F3">
        <w:rPr>
          <w:rFonts w:cs="Calibri"/>
          <w:lang w:val="en-GB"/>
        </w:rPr>
        <w:t xml:space="preserve"> the results of their work.</w:t>
      </w:r>
    </w:p>
    <w:p w:rsidR="00A97C31" w:rsidRPr="003A78F3" w:rsidRDefault="00622566" w:rsidP="00403657">
      <w:pPr>
        <w:spacing w:after="0"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Report on the </w:t>
      </w:r>
      <w:r w:rsidR="00760A16" w:rsidRPr="003A78F3">
        <w:rPr>
          <w:rFonts w:cs="Calibri"/>
          <w:lang w:val="en-GB"/>
        </w:rPr>
        <w:t xml:space="preserve">public finance </w:t>
      </w:r>
      <w:r w:rsidRPr="003A78F3">
        <w:rPr>
          <w:rFonts w:cs="Calibri"/>
          <w:lang w:val="en-GB"/>
        </w:rPr>
        <w:t xml:space="preserve">reform in line with RAP1 </w:t>
      </w:r>
      <w:r w:rsidR="00760A16" w:rsidRPr="003A78F3">
        <w:rPr>
          <w:rFonts w:cs="Calibri"/>
          <w:lang w:val="en-GB"/>
        </w:rPr>
        <w:t xml:space="preserve">was </w:t>
      </w:r>
      <w:r w:rsidRPr="003A78F3">
        <w:rPr>
          <w:rFonts w:cs="Calibri"/>
          <w:lang w:val="en-GB"/>
        </w:rPr>
        <w:t xml:space="preserve">prepared </w:t>
      </w:r>
      <w:r w:rsidR="00760A16" w:rsidRPr="003A78F3">
        <w:rPr>
          <w:rFonts w:cs="Calibri"/>
          <w:lang w:val="en-GB"/>
        </w:rPr>
        <w:t>on the basis of:</w:t>
      </w:r>
      <w:r w:rsidRPr="003A78F3">
        <w:rPr>
          <w:rFonts w:cs="Calibri"/>
          <w:lang w:val="en-GB"/>
        </w:rPr>
        <w:t xml:space="preserve"> </w:t>
      </w:r>
      <w:r w:rsidR="00760A16" w:rsidRPr="003A78F3">
        <w:rPr>
          <w:rFonts w:cs="Calibri"/>
          <w:lang w:val="en-GB"/>
        </w:rPr>
        <w:t xml:space="preserve">desktop </w:t>
      </w:r>
      <w:r w:rsidRPr="003A78F3">
        <w:rPr>
          <w:rFonts w:cs="Calibri"/>
          <w:lang w:val="en-GB"/>
        </w:rPr>
        <w:t xml:space="preserve">review of existing primary sources of information, including relevant laws, administrative procedures, financial and other data on the </w:t>
      </w:r>
      <w:r w:rsidR="000027AD" w:rsidRPr="003A78F3">
        <w:rPr>
          <w:rFonts w:cs="Calibri"/>
          <w:lang w:val="en-GB"/>
        </w:rPr>
        <w:t>performance</w:t>
      </w:r>
      <w:r w:rsidRPr="003A78F3">
        <w:rPr>
          <w:rFonts w:cs="Calibri"/>
          <w:lang w:val="en-GB"/>
        </w:rPr>
        <w:t xml:space="preserve"> of all governments in BiH; collect</w:t>
      </w:r>
      <w:r w:rsidR="000027AD" w:rsidRPr="003A78F3">
        <w:rPr>
          <w:rFonts w:cs="Calibri"/>
          <w:lang w:val="en-GB"/>
        </w:rPr>
        <w:t>ion of</w:t>
      </w:r>
      <w:r w:rsidRPr="003A78F3">
        <w:rPr>
          <w:rFonts w:cs="Calibri"/>
          <w:lang w:val="en-GB"/>
        </w:rPr>
        <w:t xml:space="preserve"> additional information </w:t>
      </w:r>
      <w:r w:rsidR="000027AD" w:rsidRPr="003A78F3">
        <w:rPr>
          <w:rFonts w:cs="Calibri"/>
          <w:lang w:val="en-GB"/>
        </w:rPr>
        <w:t>by way of</w:t>
      </w:r>
      <w:r w:rsidRPr="003A78F3">
        <w:rPr>
          <w:rFonts w:cs="Calibri"/>
          <w:lang w:val="en-GB"/>
        </w:rPr>
        <w:t xml:space="preserve"> questionna</w:t>
      </w:r>
      <w:r w:rsidR="00AE1390">
        <w:rPr>
          <w:rFonts w:cs="Calibri"/>
          <w:lang w:val="en-GB"/>
        </w:rPr>
        <w:t xml:space="preserve">ires that were submitted to </w:t>
      </w:r>
      <w:r w:rsidRPr="003A78F3">
        <w:rPr>
          <w:rFonts w:cs="Calibri"/>
          <w:lang w:val="en-GB"/>
        </w:rPr>
        <w:t>16 institutions at the level</w:t>
      </w:r>
      <w:r w:rsidR="000027AD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 of BiH, FBiH, RS and BD. The response and the quality of the submitted data was </w:t>
      </w:r>
      <w:r w:rsidR="000027AD" w:rsidRPr="003A78F3">
        <w:rPr>
          <w:rFonts w:cs="Calibri"/>
          <w:lang w:val="en-GB"/>
        </w:rPr>
        <w:t>in line</w:t>
      </w:r>
      <w:r w:rsidRPr="003A78F3">
        <w:rPr>
          <w:rFonts w:cs="Calibri"/>
          <w:lang w:val="en-GB"/>
        </w:rPr>
        <w:t xml:space="preserve"> with</w:t>
      </w:r>
      <w:r w:rsidR="000027AD" w:rsidRPr="003A78F3">
        <w:rPr>
          <w:rFonts w:cs="Calibri"/>
          <w:lang w:val="en-GB"/>
        </w:rPr>
        <w:t xml:space="preserve"> our</w:t>
      </w:r>
      <w:r w:rsidRPr="003A78F3">
        <w:rPr>
          <w:rFonts w:cs="Calibri"/>
          <w:lang w:val="en-GB"/>
        </w:rPr>
        <w:t xml:space="preserve"> expectations.  </w:t>
      </w:r>
    </w:p>
    <w:p w:rsidR="00403657" w:rsidRPr="003A78F3" w:rsidRDefault="00403657" w:rsidP="00403657">
      <w:pPr>
        <w:pStyle w:val="Heading1"/>
        <w:spacing w:after="0" w:afterAutospacing="0" w:line="240" w:lineRule="auto"/>
        <w:jc w:val="center"/>
        <w:rPr>
          <w:rFonts w:ascii="Calibri" w:hAnsi="Calibri" w:cs="Calibri" w:hint="default"/>
          <w:sz w:val="4"/>
          <w:szCs w:val="4"/>
          <w:lang w:val="en-GB"/>
        </w:rPr>
      </w:pPr>
      <w:bookmarkStart w:id="3" w:name="_Toc445049550"/>
    </w:p>
    <w:p w:rsidR="00A97C31" w:rsidRPr="003A78F3" w:rsidRDefault="00622566" w:rsidP="00403657">
      <w:pPr>
        <w:pStyle w:val="Heading1"/>
        <w:spacing w:line="276" w:lineRule="auto"/>
        <w:jc w:val="center"/>
        <w:rPr>
          <w:rFonts w:ascii="Calibri" w:hAnsi="Calibri" w:cs="Calibri" w:hint="default"/>
          <w:sz w:val="32"/>
          <w:szCs w:val="32"/>
          <w:lang w:val="en-GB"/>
        </w:rPr>
      </w:pPr>
      <w:bookmarkStart w:id="4" w:name="_Toc473971984"/>
      <w:r w:rsidRPr="003A78F3">
        <w:rPr>
          <w:rFonts w:ascii="Calibri" w:hAnsi="Calibri" w:cs="Calibri" w:hint="default"/>
          <w:sz w:val="32"/>
          <w:szCs w:val="32"/>
          <w:lang w:val="en-GB"/>
        </w:rPr>
        <w:t xml:space="preserve">III Findings of the </w:t>
      </w:r>
      <w:r w:rsidR="000027AD" w:rsidRPr="003A78F3">
        <w:rPr>
          <w:rFonts w:ascii="Calibri" w:hAnsi="Calibri" w:cs="Calibri" w:hint="default"/>
          <w:sz w:val="32"/>
          <w:szCs w:val="32"/>
          <w:lang w:val="en-GB"/>
        </w:rPr>
        <w:t xml:space="preserve">public finance reform </w:t>
      </w:r>
      <w:r w:rsidRPr="003A78F3">
        <w:rPr>
          <w:rFonts w:ascii="Calibri" w:hAnsi="Calibri" w:cs="Calibri" w:hint="default"/>
          <w:sz w:val="32"/>
          <w:szCs w:val="32"/>
          <w:lang w:val="en-GB"/>
        </w:rPr>
        <w:t>monitoring in BiH</w:t>
      </w:r>
      <w:bookmarkEnd w:id="3"/>
      <w:bookmarkEnd w:id="4"/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Bosnia and Herzegovina has a c</w:t>
      </w:r>
      <w:r w:rsidR="000027AD" w:rsidRPr="003A78F3">
        <w:rPr>
          <w:rFonts w:cs="Calibri"/>
          <w:lang w:val="en-GB"/>
        </w:rPr>
        <w:t xml:space="preserve">omplex public finance </w:t>
      </w:r>
      <w:r w:rsidR="00D14B1D" w:rsidRPr="003A78F3">
        <w:rPr>
          <w:rFonts w:cs="Calibri"/>
          <w:lang w:val="en-GB"/>
        </w:rPr>
        <w:t xml:space="preserve">system </w:t>
      </w:r>
      <w:r w:rsidRPr="003A78F3">
        <w:rPr>
          <w:rFonts w:cs="Calibri"/>
          <w:lang w:val="en-GB"/>
        </w:rPr>
        <w:t>consist</w:t>
      </w:r>
      <w:r w:rsidR="00D14B1D" w:rsidRPr="003A78F3">
        <w:rPr>
          <w:rFonts w:cs="Calibri"/>
          <w:lang w:val="en-GB"/>
        </w:rPr>
        <w:t>ing</w:t>
      </w:r>
      <w:r w:rsidRPr="003A78F3">
        <w:rPr>
          <w:rFonts w:cs="Calibri"/>
          <w:lang w:val="en-GB"/>
        </w:rPr>
        <w:t xml:space="preserve"> of the State</w:t>
      </w:r>
      <w:r w:rsidR="00F25120" w:rsidRPr="003A78F3">
        <w:rPr>
          <w:rFonts w:cs="Calibri"/>
          <w:lang w:val="en-GB"/>
        </w:rPr>
        <w:t xml:space="preserve"> level</w:t>
      </w:r>
      <w:r w:rsidRPr="003A78F3">
        <w:rPr>
          <w:rFonts w:cs="Calibri"/>
          <w:lang w:val="en-GB"/>
        </w:rPr>
        <w:t xml:space="preserve">, two entities and </w:t>
      </w:r>
      <w:r w:rsidR="000027AD" w:rsidRPr="003A78F3">
        <w:rPr>
          <w:rFonts w:cs="Calibri"/>
          <w:lang w:val="en-GB"/>
        </w:rPr>
        <w:t xml:space="preserve">the </w:t>
      </w:r>
      <w:r w:rsidR="00B94524" w:rsidRPr="003A78F3">
        <w:rPr>
          <w:rFonts w:cs="Calibri"/>
          <w:lang w:val="en-GB"/>
        </w:rPr>
        <w:t>Brčko</w:t>
      </w:r>
      <w:r w:rsidRPr="003A78F3">
        <w:rPr>
          <w:rFonts w:cs="Calibri"/>
          <w:lang w:val="en-GB"/>
        </w:rPr>
        <w:t xml:space="preserve"> District. The question is how to </w:t>
      </w:r>
      <w:r w:rsidR="00B4107B" w:rsidRPr="003A78F3">
        <w:rPr>
          <w:rFonts w:cs="Calibri"/>
          <w:lang w:val="en-GB"/>
        </w:rPr>
        <w:t>accelerate</w:t>
      </w:r>
      <w:r w:rsidRPr="003A78F3">
        <w:rPr>
          <w:rFonts w:cs="Calibri"/>
          <w:lang w:val="en-GB"/>
        </w:rPr>
        <w:t xml:space="preserve"> growth and what are the obstacles </w:t>
      </w:r>
      <w:r w:rsidR="00B4107B" w:rsidRPr="003A78F3">
        <w:rPr>
          <w:rFonts w:cs="Calibri"/>
          <w:lang w:val="en-GB"/>
        </w:rPr>
        <w:t>arising from</w:t>
      </w:r>
      <w:r w:rsidRPr="003A78F3">
        <w:rPr>
          <w:rFonts w:cs="Calibri"/>
          <w:lang w:val="en-GB"/>
        </w:rPr>
        <w:t xml:space="preserve"> such a complex </w:t>
      </w:r>
      <w:r w:rsidR="00277E92" w:rsidRPr="003A78F3">
        <w:rPr>
          <w:rFonts w:cs="Calibri"/>
          <w:lang w:val="en-GB"/>
        </w:rPr>
        <w:t xml:space="preserve">public finance </w:t>
      </w:r>
      <w:r w:rsidRPr="003A78F3">
        <w:rPr>
          <w:rFonts w:cs="Calibri"/>
          <w:lang w:val="en-GB"/>
        </w:rPr>
        <w:t>system and econom</w:t>
      </w:r>
      <w:r w:rsidR="00F25120" w:rsidRPr="003A78F3">
        <w:rPr>
          <w:rFonts w:cs="Calibri"/>
          <w:lang w:val="en-GB"/>
        </w:rPr>
        <w:t>y</w:t>
      </w:r>
      <w:r w:rsidRPr="003A78F3">
        <w:rPr>
          <w:rFonts w:cs="Calibri"/>
          <w:lang w:val="en-GB"/>
        </w:rPr>
        <w:t xml:space="preserve"> with low </w:t>
      </w:r>
      <w:r w:rsidR="00F25120" w:rsidRPr="003A78F3">
        <w:rPr>
          <w:rFonts w:cs="Calibri"/>
          <w:lang w:val="en-GB"/>
        </w:rPr>
        <w:t xml:space="preserve">economic growth, employment and investment </w:t>
      </w:r>
      <w:r w:rsidRPr="003A78F3">
        <w:rPr>
          <w:rFonts w:cs="Calibri"/>
          <w:lang w:val="en-GB"/>
        </w:rPr>
        <w:t>rates. From the stand</w:t>
      </w:r>
      <w:r w:rsidR="00F25120" w:rsidRPr="003A78F3">
        <w:rPr>
          <w:rFonts w:cs="Calibri"/>
          <w:lang w:val="en-GB"/>
        </w:rPr>
        <w:t xml:space="preserve">point of public finance, it suffices to </w:t>
      </w:r>
      <w:r w:rsidR="00277E92" w:rsidRPr="003A78F3">
        <w:rPr>
          <w:rFonts w:cs="Calibri"/>
          <w:lang w:val="en-GB"/>
        </w:rPr>
        <w:t>mention</w:t>
      </w:r>
      <w:r w:rsidRPr="003A78F3">
        <w:rPr>
          <w:rFonts w:cs="Calibri"/>
          <w:lang w:val="en-GB"/>
        </w:rPr>
        <w:t xml:space="preserve"> only a few obstacles to growth </w:t>
      </w:r>
      <w:r w:rsidR="00F25120" w:rsidRPr="003A78F3">
        <w:rPr>
          <w:rFonts w:cs="Calibri"/>
          <w:lang w:val="en-GB"/>
        </w:rPr>
        <w:t>in</w:t>
      </w:r>
      <w:r w:rsidRPr="003A78F3">
        <w:rPr>
          <w:rFonts w:cs="Calibri"/>
          <w:lang w:val="en-GB"/>
        </w:rPr>
        <w:t xml:space="preserve"> B</w:t>
      </w:r>
      <w:r w:rsidR="00277E92" w:rsidRPr="003A78F3">
        <w:rPr>
          <w:rFonts w:cs="Calibri"/>
          <w:lang w:val="en-GB"/>
        </w:rPr>
        <w:t>i</w:t>
      </w:r>
      <w:r w:rsidRPr="003A78F3">
        <w:rPr>
          <w:rFonts w:cs="Calibri"/>
          <w:lang w:val="en-GB"/>
        </w:rPr>
        <w:t>H</w:t>
      </w:r>
      <w:r w:rsidR="00F25120" w:rsidRPr="003A78F3">
        <w:rPr>
          <w:rFonts w:cs="Calibri"/>
          <w:lang w:val="en-GB"/>
        </w:rPr>
        <w:t>,</w:t>
      </w:r>
      <w:r w:rsidRPr="003A78F3">
        <w:rPr>
          <w:rFonts w:cs="Calibri"/>
          <w:lang w:val="en-GB"/>
        </w:rPr>
        <w:t xml:space="preserve"> such as</w:t>
      </w:r>
      <w:r w:rsidR="00F25120" w:rsidRPr="003A78F3">
        <w:rPr>
          <w:rFonts w:cs="Calibri"/>
          <w:lang w:val="en-GB"/>
        </w:rPr>
        <w:t>:</w:t>
      </w:r>
      <w:r w:rsidRPr="003A78F3">
        <w:rPr>
          <w:rFonts w:cs="Calibri"/>
          <w:lang w:val="en-GB"/>
        </w:rPr>
        <w:t xml:space="preserve"> </w:t>
      </w:r>
      <w:r w:rsidR="00B4107B" w:rsidRPr="003A78F3">
        <w:rPr>
          <w:rFonts w:cs="Calibri"/>
          <w:lang w:val="en-GB"/>
        </w:rPr>
        <w:t xml:space="preserve">a </w:t>
      </w:r>
      <w:r w:rsidR="00F25120" w:rsidRPr="003A78F3">
        <w:rPr>
          <w:rFonts w:cs="Calibri"/>
          <w:lang w:val="en-GB"/>
        </w:rPr>
        <w:t>dreadful</w:t>
      </w:r>
      <w:r w:rsidRPr="003A78F3">
        <w:rPr>
          <w:rFonts w:cs="Calibri"/>
          <w:lang w:val="en-GB"/>
        </w:rPr>
        <w:t xml:space="preserve"> state of </w:t>
      </w:r>
      <w:r w:rsidR="00F25120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>public finance</w:t>
      </w:r>
      <w:r w:rsidR="00F25120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>s</w:t>
      </w:r>
      <w:r w:rsidR="00F25120" w:rsidRPr="003A78F3">
        <w:rPr>
          <w:rFonts w:cs="Calibri"/>
          <w:lang w:val="en-GB"/>
        </w:rPr>
        <w:t>ystem</w:t>
      </w:r>
      <w:r w:rsidRPr="003A78F3">
        <w:rPr>
          <w:rFonts w:cs="Calibri"/>
          <w:lang w:val="en-GB"/>
        </w:rPr>
        <w:t xml:space="preserve"> in terms of high public spending and high budget deficit, and a </w:t>
      </w:r>
      <w:r w:rsidR="00D14B1D" w:rsidRPr="003A78F3">
        <w:rPr>
          <w:rFonts w:cs="Calibri"/>
          <w:lang w:val="en-GB"/>
        </w:rPr>
        <w:t>steady</w:t>
      </w:r>
      <w:r w:rsidR="00F25120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 xml:space="preserve">trend </w:t>
      </w:r>
      <w:r w:rsidR="00D14B1D" w:rsidRPr="003A78F3">
        <w:rPr>
          <w:rFonts w:cs="Calibri"/>
          <w:lang w:val="en-GB"/>
        </w:rPr>
        <w:t>towards growing</w:t>
      </w:r>
      <w:r w:rsidRPr="003A78F3">
        <w:rPr>
          <w:rFonts w:cs="Calibri"/>
          <w:lang w:val="en-GB"/>
        </w:rPr>
        <w:t xml:space="preserve"> public debt. Therefore, improving public finance </w:t>
      </w:r>
      <w:r w:rsidR="00277E92" w:rsidRPr="003A78F3">
        <w:rPr>
          <w:rFonts w:cs="Calibri"/>
          <w:lang w:val="en-GB"/>
        </w:rPr>
        <w:t xml:space="preserve">management </w:t>
      </w:r>
      <w:r w:rsidR="00B4107B" w:rsidRPr="003A78F3">
        <w:rPr>
          <w:rFonts w:cs="Calibri"/>
          <w:lang w:val="en-GB"/>
        </w:rPr>
        <w:t>remains</w:t>
      </w:r>
      <w:r w:rsidRPr="003A78F3">
        <w:rPr>
          <w:rFonts w:cs="Calibri"/>
          <w:lang w:val="en-GB"/>
        </w:rPr>
        <w:t xml:space="preserve"> one of the </w:t>
      </w:r>
      <w:r w:rsidR="00B94524" w:rsidRPr="003A78F3">
        <w:rPr>
          <w:rFonts w:cs="Calibri"/>
          <w:lang w:val="en-GB"/>
        </w:rPr>
        <w:t>priorities</w:t>
      </w:r>
      <w:r w:rsidRPr="003A78F3">
        <w:rPr>
          <w:rFonts w:cs="Calibri"/>
          <w:lang w:val="en-GB"/>
        </w:rPr>
        <w:t xml:space="preserve"> </w:t>
      </w:r>
      <w:r w:rsidR="00277E92" w:rsidRPr="003A78F3">
        <w:rPr>
          <w:rFonts w:cs="Calibri"/>
          <w:lang w:val="en-GB"/>
        </w:rPr>
        <w:t xml:space="preserve">of </w:t>
      </w:r>
      <w:r w:rsidR="00B4107B" w:rsidRPr="003A78F3">
        <w:rPr>
          <w:rFonts w:cs="Calibri"/>
          <w:lang w:val="en-GB"/>
        </w:rPr>
        <w:t>the structural reform</w:t>
      </w:r>
      <w:r w:rsidRPr="003A78F3">
        <w:rPr>
          <w:rFonts w:cs="Calibri"/>
          <w:lang w:val="en-GB"/>
        </w:rPr>
        <w:t xml:space="preserve"> that </w:t>
      </w:r>
      <w:r w:rsidR="00B4107B" w:rsidRPr="003A78F3">
        <w:rPr>
          <w:rFonts w:cs="Calibri"/>
          <w:lang w:val="en-GB"/>
        </w:rPr>
        <w:t>is</w:t>
      </w:r>
      <w:r w:rsidR="00277E92" w:rsidRPr="003A78F3">
        <w:rPr>
          <w:rFonts w:cs="Calibri"/>
          <w:lang w:val="en-GB"/>
        </w:rPr>
        <w:t xml:space="preserve"> to be undertaken</w:t>
      </w:r>
      <w:r w:rsidRPr="003A78F3">
        <w:rPr>
          <w:rFonts w:cs="Calibri"/>
          <w:lang w:val="en-GB"/>
        </w:rPr>
        <w:t xml:space="preserve"> in BiH, with special emphasis on improving fiscal discipline and </w:t>
      </w:r>
      <w:r w:rsidR="00B4107B" w:rsidRPr="003A78F3">
        <w:rPr>
          <w:rFonts w:cs="Calibri"/>
          <w:lang w:val="en-GB"/>
        </w:rPr>
        <w:t>streamlining</w:t>
      </w:r>
      <w:r w:rsidRPr="003A78F3">
        <w:rPr>
          <w:rFonts w:cs="Calibri"/>
          <w:lang w:val="en-GB"/>
        </w:rPr>
        <w:t xml:space="preserve"> the </w:t>
      </w:r>
      <w:r w:rsidR="00277E92" w:rsidRPr="003A78F3">
        <w:rPr>
          <w:rFonts w:cs="Calibri"/>
          <w:lang w:val="en-GB"/>
        </w:rPr>
        <w:t xml:space="preserve">internal financial control </w:t>
      </w:r>
      <w:r w:rsidRPr="003A78F3">
        <w:rPr>
          <w:rFonts w:cs="Calibri"/>
          <w:lang w:val="en-GB"/>
        </w:rPr>
        <w:t>system.</w:t>
      </w:r>
    </w:p>
    <w:p w:rsidR="00A97C31" w:rsidRPr="003A78F3" w:rsidRDefault="00B4107B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T</w:t>
      </w:r>
      <w:r w:rsidR="00622566" w:rsidRPr="003A78F3">
        <w:rPr>
          <w:rFonts w:cs="Calibri"/>
          <w:lang w:val="en-GB"/>
        </w:rPr>
        <w:t xml:space="preserve">he </w:t>
      </w:r>
      <w:r w:rsidRPr="003A78F3">
        <w:rPr>
          <w:rFonts w:cs="Calibri"/>
          <w:lang w:val="en-GB"/>
        </w:rPr>
        <w:t xml:space="preserve">Public Administration Reform </w:t>
      </w:r>
      <w:r w:rsidR="00622566" w:rsidRPr="003A78F3">
        <w:rPr>
          <w:rFonts w:cs="Calibri"/>
          <w:lang w:val="en-GB"/>
        </w:rPr>
        <w:t>Coordinator</w:t>
      </w:r>
      <w:r w:rsidRPr="003A78F3">
        <w:rPr>
          <w:rFonts w:cs="Calibri"/>
          <w:lang w:val="en-GB"/>
        </w:rPr>
        <w:t>’s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 xml:space="preserve">Office </w:t>
      </w:r>
      <w:r w:rsidR="00622566" w:rsidRPr="003A78F3">
        <w:rPr>
          <w:rFonts w:cs="Calibri"/>
          <w:lang w:val="en-GB"/>
        </w:rPr>
        <w:t xml:space="preserve">(PARCO) monitors the implementation of the Public Administration Reform Strategy </w:t>
      </w:r>
      <w:r w:rsidR="006F2A12" w:rsidRPr="003A78F3">
        <w:rPr>
          <w:rFonts w:cs="Calibri"/>
          <w:lang w:val="en-GB"/>
        </w:rPr>
        <w:t>across</w:t>
      </w:r>
      <w:r w:rsidR="00622566" w:rsidRPr="003A78F3">
        <w:rPr>
          <w:rFonts w:cs="Calibri"/>
          <w:lang w:val="en-GB"/>
        </w:rPr>
        <w:t xml:space="preserve"> activities defined in RAP1, </w:t>
      </w:r>
      <w:r w:rsidR="006F2A12" w:rsidRPr="003A78F3">
        <w:rPr>
          <w:rFonts w:cs="Calibri"/>
          <w:lang w:val="en-GB"/>
        </w:rPr>
        <w:t xml:space="preserve">with a view to creating a </w:t>
      </w:r>
      <w:r w:rsidR="00622566" w:rsidRPr="003A78F3">
        <w:rPr>
          <w:rFonts w:cs="Calibri"/>
          <w:lang w:val="en-GB"/>
        </w:rPr>
        <w:t>public financ</w:t>
      </w:r>
      <w:r w:rsidR="006F2A12" w:rsidRPr="003A78F3">
        <w:rPr>
          <w:rFonts w:cs="Calibri"/>
          <w:lang w:val="en-GB"/>
        </w:rPr>
        <w:t>e</w:t>
      </w:r>
      <w:r w:rsidR="00622566" w:rsidRPr="003A78F3">
        <w:rPr>
          <w:rFonts w:cs="Calibri"/>
          <w:lang w:val="en-GB"/>
        </w:rPr>
        <w:t xml:space="preserve"> management system which </w:t>
      </w:r>
      <w:r w:rsidR="00DB149E">
        <w:rPr>
          <w:rFonts w:cs="Calibri"/>
          <w:lang w:val="en-GB"/>
        </w:rPr>
        <w:t xml:space="preserve">will </w:t>
      </w:r>
      <w:r w:rsidR="00622566" w:rsidRPr="003A78F3">
        <w:rPr>
          <w:rFonts w:cs="Calibri"/>
          <w:lang w:val="en-GB"/>
        </w:rPr>
        <w:t xml:space="preserve">ensure fiscal discipline, </w:t>
      </w:r>
      <w:r w:rsidR="00DB149E">
        <w:rPr>
          <w:rFonts w:cs="Calibri"/>
          <w:lang w:val="en-GB"/>
        </w:rPr>
        <w:t>compliance with</w:t>
      </w:r>
      <w:r w:rsidR="00622566" w:rsidRPr="003A78F3">
        <w:rPr>
          <w:rFonts w:cs="Calibri"/>
          <w:lang w:val="en-GB"/>
        </w:rPr>
        <w:t xml:space="preserve"> </w:t>
      </w:r>
      <w:r w:rsidR="00622566" w:rsidRPr="003A78F3">
        <w:rPr>
          <w:rFonts w:cs="Calibri"/>
          <w:lang w:val="en-GB"/>
        </w:rPr>
        <w:lastRenderedPageBreak/>
        <w:t xml:space="preserve">strategic priorities and efficient use of public funds. PARCO </w:t>
      </w:r>
      <w:r w:rsidR="00DB149E">
        <w:rPr>
          <w:rFonts w:cs="Calibri"/>
          <w:lang w:val="en-GB"/>
        </w:rPr>
        <w:t>produces</w:t>
      </w:r>
      <w:r w:rsidR="00622566" w:rsidRPr="003A78F3">
        <w:rPr>
          <w:rFonts w:cs="Calibri"/>
          <w:lang w:val="en-GB"/>
        </w:rPr>
        <w:t xml:space="preserve"> semi-annual and annual reports on the implementation of public administration reform </w:t>
      </w:r>
      <w:r w:rsidR="006E2534" w:rsidRPr="003A78F3">
        <w:rPr>
          <w:rFonts w:cs="Calibri"/>
          <w:lang w:val="en-GB"/>
        </w:rPr>
        <w:t>which are</w:t>
      </w:r>
      <w:r w:rsidR="00622566" w:rsidRPr="003A78F3">
        <w:rPr>
          <w:rFonts w:cs="Calibri"/>
          <w:lang w:val="en-GB"/>
        </w:rPr>
        <w:t xml:space="preserve"> adopted by the Council of Ministers</w:t>
      </w:r>
      <w:r w:rsidR="006E2534" w:rsidRPr="003A78F3">
        <w:rPr>
          <w:rFonts w:cs="Calibri"/>
          <w:lang w:val="en-GB"/>
        </w:rPr>
        <w:t xml:space="preserve"> of BiH</w:t>
      </w:r>
      <w:r w:rsidR="00622566" w:rsidRPr="003A78F3">
        <w:rPr>
          <w:rFonts w:cs="Calibri"/>
          <w:lang w:val="en-GB"/>
        </w:rPr>
        <w:t xml:space="preserve">. </w:t>
      </w:r>
      <w:r w:rsidR="006E2534" w:rsidRPr="003A78F3">
        <w:rPr>
          <w:rFonts w:cs="Calibri"/>
          <w:lang w:val="en-GB"/>
        </w:rPr>
        <w:t>Based on the</w:t>
      </w:r>
      <w:r w:rsidR="00622566" w:rsidRPr="003A78F3">
        <w:rPr>
          <w:rFonts w:cs="Calibri"/>
          <w:lang w:val="en-GB"/>
        </w:rPr>
        <w:t xml:space="preserve"> available </w:t>
      </w:r>
      <w:r w:rsidR="006E2534" w:rsidRPr="003A78F3">
        <w:rPr>
          <w:rFonts w:cs="Calibri"/>
          <w:lang w:val="en-GB"/>
        </w:rPr>
        <w:t xml:space="preserve">PARCO </w:t>
      </w:r>
      <w:r w:rsidR="00622566" w:rsidRPr="003A78F3">
        <w:rPr>
          <w:rFonts w:cs="Calibri"/>
          <w:lang w:val="en-GB"/>
        </w:rPr>
        <w:t xml:space="preserve">reports, </w:t>
      </w:r>
      <w:r w:rsidR="006E2534" w:rsidRPr="003A78F3">
        <w:rPr>
          <w:rFonts w:cs="Calibri"/>
          <w:lang w:val="en-GB"/>
        </w:rPr>
        <w:t>Figure</w:t>
      </w:r>
      <w:r w:rsidR="00622566" w:rsidRPr="003A78F3">
        <w:rPr>
          <w:rFonts w:cs="Calibri"/>
          <w:lang w:val="en-GB"/>
        </w:rPr>
        <w:t xml:space="preserve"> 1 shows the ratio </w:t>
      </w:r>
      <w:r w:rsidR="006E2534" w:rsidRPr="003A78F3">
        <w:rPr>
          <w:rFonts w:cs="Calibri"/>
          <w:lang w:val="en-GB"/>
        </w:rPr>
        <w:t>between the</w:t>
      </w:r>
      <w:r w:rsidR="00622566" w:rsidRPr="003A78F3">
        <w:rPr>
          <w:rFonts w:cs="Calibri"/>
          <w:lang w:val="en-GB"/>
        </w:rPr>
        <w:t xml:space="preserve"> </w:t>
      </w:r>
      <w:r w:rsidR="006E2534" w:rsidRPr="003A78F3">
        <w:rPr>
          <w:rFonts w:cs="Calibri"/>
          <w:lang w:val="en-GB"/>
        </w:rPr>
        <w:t>implemented</w:t>
      </w:r>
      <w:r w:rsidR="00622566" w:rsidRPr="003A78F3">
        <w:rPr>
          <w:rFonts w:cs="Calibri"/>
          <w:lang w:val="en-GB"/>
        </w:rPr>
        <w:t xml:space="preserve"> </w:t>
      </w:r>
      <w:r w:rsidR="006E2534" w:rsidRPr="003A78F3">
        <w:rPr>
          <w:rFonts w:cs="Calibri"/>
          <w:lang w:val="en-GB"/>
        </w:rPr>
        <w:t xml:space="preserve">public finance </w:t>
      </w:r>
      <w:r w:rsidR="00622566" w:rsidRPr="003A78F3">
        <w:rPr>
          <w:rFonts w:cs="Calibri"/>
          <w:lang w:val="en-GB"/>
        </w:rPr>
        <w:t>reforms</w:t>
      </w:r>
      <w:r w:rsidR="006E2534" w:rsidRPr="003A78F3">
        <w:rPr>
          <w:rFonts w:cs="Calibri"/>
          <w:lang w:val="en-GB"/>
        </w:rPr>
        <w:t xml:space="preserve"> and those that are still pending</w:t>
      </w:r>
      <w:r w:rsidR="00622566" w:rsidRPr="003A78F3">
        <w:rPr>
          <w:rFonts w:cs="Calibri"/>
          <w:lang w:val="en-GB"/>
        </w:rPr>
        <w:t xml:space="preserve"> </w:t>
      </w:r>
      <w:r w:rsidR="006E2534" w:rsidRPr="003A78F3">
        <w:rPr>
          <w:rFonts w:cs="Calibri"/>
          <w:lang w:val="en-GB"/>
        </w:rPr>
        <w:t xml:space="preserve">for the period </w:t>
      </w:r>
      <w:r w:rsidR="00622566" w:rsidRPr="003A78F3">
        <w:rPr>
          <w:rFonts w:cs="Calibri"/>
          <w:lang w:val="en-GB"/>
        </w:rPr>
        <w:t xml:space="preserve">2011 </w:t>
      </w:r>
      <w:r w:rsidR="00DB149E">
        <w:rPr>
          <w:rFonts w:cs="Calibri"/>
          <w:lang w:val="en-GB"/>
        </w:rPr>
        <w:t>-</w:t>
      </w:r>
      <w:r w:rsidR="00622566" w:rsidRPr="003A78F3">
        <w:rPr>
          <w:rFonts w:cs="Calibri"/>
          <w:lang w:val="en-GB"/>
        </w:rPr>
        <w:t xml:space="preserve"> 31</w:t>
      </w:r>
      <w:r w:rsidR="006E2534" w:rsidRPr="003A78F3">
        <w:rPr>
          <w:rFonts w:cs="Calibri"/>
          <w:lang w:val="en-GB"/>
        </w:rPr>
        <w:t xml:space="preserve"> December </w:t>
      </w:r>
      <w:r w:rsidR="00622566" w:rsidRPr="003A78F3">
        <w:rPr>
          <w:rFonts w:cs="Calibri"/>
          <w:lang w:val="en-GB"/>
        </w:rPr>
        <w:t xml:space="preserve">2014. </w:t>
      </w:r>
    </w:p>
    <w:p w:rsidR="00A97C31" w:rsidRPr="003A78F3" w:rsidRDefault="00622566" w:rsidP="00403657">
      <w:pPr>
        <w:spacing w:line="240" w:lineRule="auto"/>
        <w:jc w:val="center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Figure 1. Implementation of </w:t>
      </w:r>
      <w:r w:rsidR="006E2534" w:rsidRPr="003A78F3">
        <w:rPr>
          <w:rFonts w:cs="Calibri"/>
          <w:lang w:val="en-GB"/>
        </w:rPr>
        <w:t xml:space="preserve">public finance </w:t>
      </w:r>
      <w:r w:rsidRPr="003A78F3">
        <w:rPr>
          <w:rFonts w:cs="Calibri"/>
          <w:lang w:val="en-GB"/>
        </w:rPr>
        <w:t xml:space="preserve">reforms </w:t>
      </w:r>
      <w:r w:rsidR="006E2534" w:rsidRPr="003A78F3">
        <w:rPr>
          <w:rFonts w:cs="Calibri"/>
          <w:lang w:val="en-GB"/>
        </w:rPr>
        <w:t>as at</w:t>
      </w:r>
      <w:r w:rsidRPr="003A78F3">
        <w:rPr>
          <w:rFonts w:cs="Calibri"/>
          <w:lang w:val="en-GB"/>
        </w:rPr>
        <w:t xml:space="preserve"> 31</w:t>
      </w:r>
      <w:r w:rsidR="006E2534" w:rsidRPr="003A78F3">
        <w:rPr>
          <w:rFonts w:cs="Calibri"/>
          <w:lang w:val="en-GB"/>
        </w:rPr>
        <w:t xml:space="preserve"> December </w:t>
      </w:r>
      <w:r w:rsidRPr="003A78F3">
        <w:rPr>
          <w:rFonts w:cs="Calibri"/>
          <w:lang w:val="en-GB"/>
        </w:rPr>
        <w:t>2014</w:t>
      </w:r>
    </w:p>
    <w:p w:rsidR="00A97C31" w:rsidRPr="003A78F3" w:rsidRDefault="00B41AD8" w:rsidP="00403657">
      <w:pPr>
        <w:spacing w:line="240" w:lineRule="auto"/>
        <w:jc w:val="center"/>
        <w:rPr>
          <w:rFonts w:cs="Calibri"/>
          <w:lang w:val="en-GB"/>
        </w:rPr>
      </w:pPr>
      <w:r>
        <w:rPr>
          <w:rFonts w:cs="Calibri"/>
          <w:noProof/>
          <w:lang w:val="bs-Latn-BA" w:eastAsia="bs-Latn-BA"/>
        </w:rPr>
        <w:drawing>
          <wp:inline distT="0" distB="0" distL="0" distR="0">
            <wp:extent cx="4273984" cy="3256005"/>
            <wp:effectExtent l="19050" t="0" r="0" b="0"/>
            <wp:docPr id="2" name="Picture 1" descr="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638" cy="325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C31" w:rsidRPr="00B41AD8" w:rsidRDefault="00622566" w:rsidP="00403657">
      <w:pPr>
        <w:spacing w:after="0" w:line="240" w:lineRule="auto"/>
        <w:jc w:val="center"/>
        <w:rPr>
          <w:rFonts w:cs="Calibri"/>
          <w:i/>
          <w:lang w:val="en-GB"/>
        </w:rPr>
      </w:pPr>
      <w:r w:rsidRPr="00B41AD8">
        <w:rPr>
          <w:rFonts w:cs="Calibri"/>
          <w:i/>
          <w:lang w:val="en-GB"/>
        </w:rPr>
        <w:t xml:space="preserve">Source: </w:t>
      </w:r>
      <w:r w:rsidR="00DB149E" w:rsidRPr="00B41AD8">
        <w:rPr>
          <w:rFonts w:cs="Calibri"/>
          <w:i/>
          <w:lang w:val="en-GB"/>
        </w:rPr>
        <w:t>PARCO r</w:t>
      </w:r>
      <w:r w:rsidRPr="00B41AD8">
        <w:rPr>
          <w:rFonts w:cs="Calibri"/>
          <w:i/>
          <w:lang w:val="en-GB"/>
        </w:rPr>
        <w:t xml:space="preserve">eports </w:t>
      </w:r>
    </w:p>
    <w:p w:rsidR="00A97C31" w:rsidRPr="003A78F3" w:rsidRDefault="00A97C31" w:rsidP="00403657">
      <w:pPr>
        <w:spacing w:after="0" w:line="240" w:lineRule="auto"/>
        <w:jc w:val="both"/>
        <w:rPr>
          <w:rFonts w:cs="Calibri"/>
          <w:lang w:val="en-GB"/>
        </w:rPr>
      </w:pPr>
    </w:p>
    <w:p w:rsidR="00A97C31" w:rsidRPr="003A78F3" w:rsidRDefault="00622566" w:rsidP="00403657">
      <w:pPr>
        <w:pStyle w:val="Heading2"/>
        <w:rPr>
          <w:rFonts w:ascii="Calibri" w:hAnsi="Calibri" w:cs="Calibri"/>
          <w:lang w:val="en-GB"/>
        </w:rPr>
      </w:pPr>
      <w:r w:rsidRPr="003A78F3">
        <w:rPr>
          <w:rFonts w:cs="Calibri"/>
          <w:lang w:val="en-GB"/>
        </w:rPr>
        <w:t xml:space="preserve"> </w:t>
      </w:r>
      <w:bookmarkStart w:id="5" w:name="_Toc445049552"/>
      <w:bookmarkStart w:id="6" w:name="_Toc473971985"/>
      <w:r w:rsidRPr="003A78F3">
        <w:rPr>
          <w:rFonts w:ascii="Calibri" w:hAnsi="Calibri" w:cs="Calibri"/>
          <w:lang w:val="en-GB"/>
        </w:rPr>
        <w:t>1. I</w:t>
      </w:r>
      <w:bookmarkEnd w:id="5"/>
      <w:r w:rsidR="00582ED3" w:rsidRPr="003A78F3">
        <w:rPr>
          <w:rFonts w:ascii="Calibri" w:hAnsi="Calibri" w:cs="Calibri"/>
          <w:lang w:val="en-GB"/>
        </w:rPr>
        <w:t>ncreasing efficiency and effectiveness of budget management</w:t>
      </w:r>
      <w:bookmarkEnd w:id="6"/>
    </w:p>
    <w:p w:rsidR="00051461" w:rsidRPr="003A78F3" w:rsidRDefault="00051461" w:rsidP="00403657">
      <w:pPr>
        <w:spacing w:after="0" w:line="240" w:lineRule="auto"/>
        <w:jc w:val="both"/>
        <w:rPr>
          <w:rFonts w:cs="Calibri"/>
          <w:lang w:val="en-GB"/>
        </w:rPr>
      </w:pPr>
    </w:p>
    <w:p w:rsidR="00A97C31" w:rsidRPr="003A78F3" w:rsidRDefault="00582ED3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The delay in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 xml:space="preserve">adopting the 2014-2016 Global Framework of the Fiscal Balance and Policy (GOF) by the </w:t>
      </w:r>
      <w:r w:rsidR="00622566" w:rsidRPr="003A78F3">
        <w:rPr>
          <w:rFonts w:cs="Calibri"/>
          <w:lang w:val="en-GB"/>
        </w:rPr>
        <w:t>Fiscal Council</w:t>
      </w:r>
      <w:r w:rsidRPr="003A78F3">
        <w:rPr>
          <w:rFonts w:cs="Calibri"/>
          <w:lang w:val="en-GB"/>
        </w:rPr>
        <w:t xml:space="preserve"> meant that</w:t>
      </w:r>
      <w:r w:rsidR="00622566" w:rsidRPr="003A78F3">
        <w:rPr>
          <w:rFonts w:cs="Calibri"/>
          <w:lang w:val="en-GB"/>
        </w:rPr>
        <w:t xml:space="preserve"> the </w:t>
      </w:r>
      <w:r w:rsidRPr="003A78F3">
        <w:rPr>
          <w:rFonts w:cs="Calibri"/>
          <w:lang w:val="en-GB"/>
        </w:rPr>
        <w:t>g</w:t>
      </w:r>
      <w:r w:rsidR="00622566" w:rsidRPr="003A78F3">
        <w:rPr>
          <w:rFonts w:cs="Calibri"/>
          <w:lang w:val="en-GB"/>
        </w:rPr>
        <w:t>overnment</w:t>
      </w:r>
      <w:r w:rsidRPr="003A78F3">
        <w:rPr>
          <w:rFonts w:cs="Calibri"/>
          <w:lang w:val="en-GB"/>
        </w:rPr>
        <w:t>s were left with less time to prepare the</w:t>
      </w:r>
      <w:r w:rsidR="00622566" w:rsidRPr="003A78F3">
        <w:rPr>
          <w:rFonts w:cs="Calibri"/>
          <w:lang w:val="en-GB"/>
        </w:rPr>
        <w:t xml:space="preserve"> Budget Framework </w:t>
      </w:r>
      <w:r w:rsidRPr="003A78F3">
        <w:rPr>
          <w:rFonts w:cs="Calibri"/>
          <w:lang w:val="en-GB"/>
        </w:rPr>
        <w:t>Paper</w:t>
      </w:r>
      <w:r w:rsidR="00622566" w:rsidRPr="003A78F3">
        <w:rPr>
          <w:rFonts w:cs="Calibri"/>
          <w:lang w:val="en-GB"/>
        </w:rPr>
        <w:t xml:space="preserve"> (BF</w:t>
      </w:r>
      <w:r w:rsidRPr="003A78F3">
        <w:rPr>
          <w:rFonts w:cs="Calibri"/>
          <w:lang w:val="en-GB"/>
        </w:rPr>
        <w:t>P</w:t>
      </w:r>
      <w:r w:rsidR="00622566" w:rsidRPr="003A78F3">
        <w:rPr>
          <w:rFonts w:cs="Calibri"/>
          <w:lang w:val="en-GB"/>
        </w:rPr>
        <w:t xml:space="preserve">). </w:t>
      </w:r>
      <w:r w:rsidR="00BE4AB6" w:rsidRPr="003A78F3">
        <w:rPr>
          <w:rFonts w:cs="Calibri"/>
          <w:lang w:val="en-GB"/>
        </w:rPr>
        <w:t>As regards</w:t>
      </w:r>
      <w:r w:rsidR="00622566" w:rsidRPr="003A78F3">
        <w:rPr>
          <w:rFonts w:cs="Calibri"/>
          <w:lang w:val="en-GB"/>
        </w:rPr>
        <w:t xml:space="preserve"> the adoption of budget</w:t>
      </w:r>
      <w:r w:rsidR="00BE4AB6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 for the fiscal year 2015, it is evident that the three budgets in BiH (</w:t>
      </w:r>
      <w:r w:rsidR="00BE4AB6" w:rsidRPr="003A78F3">
        <w:rPr>
          <w:rFonts w:cs="Calibri"/>
          <w:lang w:val="en-GB"/>
        </w:rPr>
        <w:t>with the exception of</w:t>
      </w:r>
      <w:r w:rsidR="00622566" w:rsidRPr="003A78F3">
        <w:rPr>
          <w:rFonts w:cs="Calibri"/>
          <w:lang w:val="en-GB"/>
        </w:rPr>
        <w:t xml:space="preserve"> RS) </w:t>
      </w:r>
      <w:r w:rsidR="00BE4AB6" w:rsidRPr="003A78F3">
        <w:rPr>
          <w:rFonts w:cs="Calibri"/>
          <w:lang w:val="en-GB"/>
        </w:rPr>
        <w:t>were</w:t>
      </w:r>
      <w:r w:rsidR="00622566" w:rsidRPr="003A78F3">
        <w:rPr>
          <w:rFonts w:cs="Calibri"/>
          <w:lang w:val="en-GB"/>
        </w:rPr>
        <w:t xml:space="preserve"> not adopted on time. Deadlines for adopti</w:t>
      </w:r>
      <w:r w:rsidR="00BE4AB6" w:rsidRPr="003A78F3">
        <w:rPr>
          <w:rFonts w:cs="Calibri"/>
          <w:lang w:val="en-GB"/>
        </w:rPr>
        <w:t>on of</w:t>
      </w:r>
      <w:r w:rsidR="00622566" w:rsidRPr="003A78F3">
        <w:rPr>
          <w:rFonts w:cs="Calibri"/>
          <w:lang w:val="en-GB"/>
        </w:rPr>
        <w:t xml:space="preserve"> the </w:t>
      </w:r>
      <w:r w:rsidR="00BE4AB6" w:rsidRPr="003A78F3">
        <w:rPr>
          <w:rFonts w:cs="Calibri"/>
          <w:lang w:val="en-GB"/>
        </w:rPr>
        <w:t xml:space="preserve">2015 </w:t>
      </w:r>
      <w:r w:rsidR="00622566" w:rsidRPr="003A78F3">
        <w:rPr>
          <w:rFonts w:cs="Calibri"/>
          <w:lang w:val="en-GB"/>
        </w:rPr>
        <w:t>budget</w:t>
      </w:r>
      <w:r w:rsidR="00BE4AB6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 were breached due to the delay</w:t>
      </w:r>
      <w:r w:rsidR="00BE4AB6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 in </w:t>
      </w:r>
      <w:r w:rsidR="00BE4AB6" w:rsidRPr="003A78F3">
        <w:rPr>
          <w:rFonts w:cs="Calibri"/>
          <w:lang w:val="en-GB"/>
        </w:rPr>
        <w:t>forming</w:t>
      </w:r>
      <w:r w:rsidR="00622566" w:rsidRPr="003A78F3">
        <w:rPr>
          <w:rFonts w:cs="Calibri"/>
          <w:lang w:val="en-GB"/>
        </w:rPr>
        <w:t xml:space="preserve"> the Council of Ministers at the state level, </w:t>
      </w:r>
      <w:r w:rsidR="00BE4AB6"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Government </w:t>
      </w:r>
      <w:r w:rsidR="00BE4AB6" w:rsidRPr="003A78F3">
        <w:rPr>
          <w:rFonts w:cs="Calibri"/>
          <w:lang w:val="en-GB"/>
        </w:rPr>
        <w:t xml:space="preserve">of FBiH </w:t>
      </w:r>
      <w:r w:rsidR="00622566" w:rsidRPr="003A78F3">
        <w:rPr>
          <w:rFonts w:cs="Calibri"/>
          <w:lang w:val="en-GB"/>
        </w:rPr>
        <w:t xml:space="preserve">and the Assembly of BD.  </w:t>
      </w:r>
    </w:p>
    <w:p w:rsidR="00A97C31" w:rsidRPr="003A78F3" w:rsidRDefault="005449D9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Each of the four levels of government has its own budget law (</w:t>
      </w:r>
      <w:r w:rsidR="00BE4AB6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 xml:space="preserve">Law on Financing </w:t>
      </w:r>
      <w:r w:rsidR="00E4654E" w:rsidRPr="003A78F3">
        <w:rPr>
          <w:rFonts w:cs="Calibri"/>
          <w:lang w:val="en-GB"/>
        </w:rPr>
        <w:t>the</w:t>
      </w:r>
      <w:r w:rsidRPr="003A78F3">
        <w:rPr>
          <w:rFonts w:cs="Calibri"/>
          <w:lang w:val="en-GB"/>
        </w:rPr>
        <w:t xml:space="preserve"> Institutions of BiH, the Law on Budgets in FBiH, the Law on </w:t>
      </w:r>
      <w:r w:rsidR="00E4654E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 xml:space="preserve">Budget System </w:t>
      </w:r>
      <w:r w:rsidR="007A001B" w:rsidRPr="003A78F3">
        <w:rPr>
          <w:rFonts w:cs="Calibri"/>
          <w:lang w:val="en-GB"/>
        </w:rPr>
        <w:t>of</w:t>
      </w:r>
      <w:r w:rsidRPr="003A78F3">
        <w:rPr>
          <w:rFonts w:cs="Calibri"/>
          <w:lang w:val="en-GB"/>
        </w:rPr>
        <w:t xml:space="preserve"> RS</w:t>
      </w:r>
      <w:r w:rsidR="00E4654E" w:rsidRPr="003A78F3">
        <w:rPr>
          <w:rFonts w:cs="Calibri"/>
          <w:lang w:val="en-GB"/>
        </w:rPr>
        <w:t xml:space="preserve"> and the</w:t>
      </w:r>
      <w:r w:rsidRPr="003A78F3">
        <w:rPr>
          <w:rFonts w:cs="Calibri"/>
          <w:lang w:val="en-GB"/>
        </w:rPr>
        <w:t xml:space="preserve"> </w:t>
      </w:r>
      <w:r w:rsidR="00E4654E" w:rsidRPr="003A78F3">
        <w:rPr>
          <w:rFonts w:cs="Calibri"/>
          <w:lang w:val="en-GB"/>
        </w:rPr>
        <w:t xml:space="preserve">Budget </w:t>
      </w:r>
      <w:r w:rsidRPr="003A78F3">
        <w:rPr>
          <w:rFonts w:cs="Calibri"/>
          <w:lang w:val="en-GB"/>
        </w:rPr>
        <w:t xml:space="preserve">Law </w:t>
      </w:r>
      <w:r w:rsidR="00E4654E" w:rsidRPr="003A78F3">
        <w:rPr>
          <w:rFonts w:cs="Calibri"/>
          <w:lang w:val="en-GB"/>
        </w:rPr>
        <w:t xml:space="preserve">of </w:t>
      </w:r>
      <w:r w:rsidRPr="003A78F3">
        <w:rPr>
          <w:rFonts w:cs="Calibri"/>
          <w:lang w:val="en-GB"/>
        </w:rPr>
        <w:t>B</w:t>
      </w:r>
      <w:r w:rsidR="00E4654E" w:rsidRPr="003A78F3">
        <w:rPr>
          <w:rFonts w:cs="Calibri"/>
          <w:lang w:val="en-GB"/>
        </w:rPr>
        <w:t>D</w:t>
      </w:r>
      <w:r w:rsidRPr="003A78F3">
        <w:rPr>
          <w:rFonts w:cs="Calibri"/>
          <w:lang w:val="en-GB"/>
        </w:rPr>
        <w:t>)</w:t>
      </w:r>
      <w:r w:rsidR="00622566" w:rsidRPr="003A78F3">
        <w:rPr>
          <w:rFonts w:cs="Calibri"/>
          <w:vertAlign w:val="superscript"/>
          <w:lang w:val="en-GB"/>
        </w:rPr>
        <w:footnoteReference w:id="2"/>
      </w:r>
      <w:r w:rsidR="00622566" w:rsidRPr="003A78F3">
        <w:rPr>
          <w:rFonts w:cs="Calibri"/>
          <w:lang w:val="en-GB"/>
        </w:rPr>
        <w:t xml:space="preserve">. These laws </w:t>
      </w:r>
      <w:r w:rsidR="00E4654E" w:rsidRPr="003A78F3">
        <w:rPr>
          <w:rFonts w:cs="Calibri"/>
          <w:lang w:val="en-GB"/>
        </w:rPr>
        <w:t>govern</w:t>
      </w:r>
      <w:r w:rsidR="00622566" w:rsidRPr="003A78F3">
        <w:rPr>
          <w:rFonts w:cs="Calibri"/>
          <w:lang w:val="en-GB"/>
        </w:rPr>
        <w:t xml:space="preserve"> the preparation of the </w:t>
      </w:r>
      <w:r w:rsidR="00E4654E" w:rsidRPr="003A78F3">
        <w:rPr>
          <w:rFonts w:cs="Calibri"/>
          <w:lang w:val="en-GB"/>
        </w:rPr>
        <w:t>Budget Framework Papers</w:t>
      </w:r>
      <w:r w:rsidR="00622566" w:rsidRPr="003A78F3">
        <w:rPr>
          <w:rFonts w:cs="Calibri"/>
          <w:lang w:val="en-GB"/>
        </w:rPr>
        <w:t xml:space="preserve"> and annual budgets for each </w:t>
      </w:r>
      <w:r w:rsidR="00E4654E" w:rsidRPr="003A78F3">
        <w:rPr>
          <w:rFonts w:cs="Calibri"/>
          <w:lang w:val="en-GB"/>
        </w:rPr>
        <w:t xml:space="preserve">government </w:t>
      </w:r>
      <w:r w:rsidR="00622566" w:rsidRPr="003A78F3">
        <w:rPr>
          <w:rFonts w:cs="Calibri"/>
          <w:lang w:val="en-GB"/>
        </w:rPr>
        <w:t xml:space="preserve">level.  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lastRenderedPageBreak/>
        <w:t xml:space="preserve">FBiH adopted a new Law on Budgets, which </w:t>
      </w:r>
      <w:r w:rsidR="00E4654E" w:rsidRPr="003A78F3">
        <w:rPr>
          <w:rFonts w:cs="Calibri"/>
          <w:lang w:val="en-GB"/>
        </w:rPr>
        <w:t>has been in force since</w:t>
      </w:r>
      <w:r w:rsidRPr="003A78F3">
        <w:rPr>
          <w:rFonts w:cs="Calibri"/>
          <w:lang w:val="en-GB"/>
        </w:rPr>
        <w:t xml:space="preserve"> 1</w:t>
      </w:r>
      <w:r w:rsidR="00E4654E" w:rsidRPr="003A78F3">
        <w:rPr>
          <w:rFonts w:cs="Calibri"/>
          <w:lang w:val="en-GB"/>
        </w:rPr>
        <w:t xml:space="preserve"> January </w:t>
      </w:r>
      <w:r w:rsidRPr="003A78F3">
        <w:rPr>
          <w:rFonts w:cs="Calibri"/>
          <w:lang w:val="en-GB"/>
        </w:rPr>
        <w:t>2014</w:t>
      </w:r>
      <w:r w:rsidR="00E4654E" w:rsidRPr="003A78F3">
        <w:rPr>
          <w:rFonts w:cs="Calibri"/>
          <w:lang w:val="en-GB"/>
        </w:rPr>
        <w:t>. This L</w:t>
      </w:r>
      <w:r w:rsidRPr="003A78F3">
        <w:rPr>
          <w:rFonts w:cs="Calibri"/>
          <w:lang w:val="en-GB"/>
        </w:rPr>
        <w:t xml:space="preserve">aw </w:t>
      </w:r>
      <w:r w:rsidR="00E4654E" w:rsidRPr="003A78F3">
        <w:rPr>
          <w:rFonts w:cs="Calibri"/>
          <w:lang w:val="en-GB"/>
        </w:rPr>
        <w:t>provides a sounder basis</w:t>
      </w:r>
      <w:r w:rsidRPr="003A78F3">
        <w:rPr>
          <w:rFonts w:cs="Calibri"/>
          <w:lang w:val="en-GB"/>
        </w:rPr>
        <w:t xml:space="preserve"> for </w:t>
      </w:r>
      <w:r w:rsidR="00E4654E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 xml:space="preserve">preparation of </w:t>
      </w:r>
      <w:r w:rsidR="00E4654E" w:rsidRPr="003A78F3">
        <w:rPr>
          <w:rFonts w:cs="Calibri"/>
          <w:lang w:val="en-GB"/>
        </w:rPr>
        <w:t>B</w:t>
      </w:r>
      <w:r w:rsidR="00B910F1" w:rsidRPr="003A78F3">
        <w:rPr>
          <w:rFonts w:cs="Calibri"/>
          <w:lang w:val="en-GB"/>
        </w:rPr>
        <w:t>F</w:t>
      </w:r>
      <w:r w:rsidR="00E4654E" w:rsidRPr="003A78F3">
        <w:rPr>
          <w:rFonts w:cs="Calibri"/>
          <w:lang w:val="en-GB"/>
        </w:rPr>
        <w:t>Ps</w:t>
      </w:r>
      <w:r w:rsidRPr="003A78F3">
        <w:rPr>
          <w:rFonts w:cs="Calibri"/>
          <w:lang w:val="en-GB"/>
        </w:rPr>
        <w:t xml:space="preserve">. The </w:t>
      </w:r>
      <w:r w:rsidR="00B910F1" w:rsidRPr="003A78F3">
        <w:rPr>
          <w:rFonts w:cs="Calibri"/>
          <w:lang w:val="en-GB"/>
        </w:rPr>
        <w:t>L</w:t>
      </w:r>
      <w:r w:rsidRPr="003A78F3">
        <w:rPr>
          <w:rFonts w:cs="Calibri"/>
          <w:lang w:val="en-GB"/>
        </w:rPr>
        <w:t xml:space="preserve">aw </w:t>
      </w:r>
      <w:r w:rsidR="00B910F1" w:rsidRPr="003A78F3">
        <w:rPr>
          <w:rFonts w:cs="Calibri"/>
          <w:lang w:val="en-GB"/>
        </w:rPr>
        <w:t>makes it mandatory for</w:t>
      </w:r>
      <w:r w:rsidRPr="003A78F3">
        <w:rPr>
          <w:rFonts w:cs="Calibri"/>
          <w:lang w:val="en-GB"/>
        </w:rPr>
        <w:t xml:space="preserve"> all budget beneficiaries</w:t>
      </w:r>
      <w:r w:rsidR="00DB149E">
        <w:rPr>
          <w:rFonts w:cs="Calibri"/>
          <w:lang w:val="en-GB"/>
        </w:rPr>
        <w:t xml:space="preserve"> (entity</w:t>
      </w:r>
      <w:r w:rsidR="00B910F1" w:rsidRPr="003A78F3">
        <w:rPr>
          <w:rFonts w:cs="Calibri"/>
          <w:lang w:val="en-GB"/>
        </w:rPr>
        <w:t>, cantons, local gov</w:t>
      </w:r>
      <w:r w:rsidRPr="003A78F3">
        <w:rPr>
          <w:rFonts w:cs="Calibri"/>
          <w:lang w:val="en-GB"/>
        </w:rPr>
        <w:t>ernment</w:t>
      </w:r>
      <w:r w:rsidR="00B910F1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) and extra-budgetary funds to prepare </w:t>
      </w:r>
      <w:r w:rsidR="00B910F1" w:rsidRPr="003A78F3">
        <w:rPr>
          <w:rFonts w:cs="Calibri"/>
          <w:lang w:val="en-GB"/>
        </w:rPr>
        <w:t>BFPs</w:t>
      </w:r>
      <w:r w:rsidRPr="003A78F3">
        <w:rPr>
          <w:rFonts w:cs="Calibri"/>
          <w:lang w:val="en-GB"/>
        </w:rPr>
        <w:t xml:space="preserve">. </w:t>
      </w:r>
      <w:r w:rsidR="00CD3B62" w:rsidRPr="003A78F3">
        <w:rPr>
          <w:rFonts w:cs="Calibri"/>
          <w:lang w:val="en-GB"/>
        </w:rPr>
        <w:t>Improvements</w:t>
      </w:r>
      <w:r w:rsidRPr="003A78F3">
        <w:rPr>
          <w:rFonts w:cs="Calibri"/>
          <w:lang w:val="en-GB"/>
        </w:rPr>
        <w:t xml:space="preserve"> introduced by this </w:t>
      </w:r>
      <w:r w:rsidR="00CD3B62" w:rsidRPr="003A78F3">
        <w:rPr>
          <w:rFonts w:cs="Calibri"/>
          <w:lang w:val="en-GB"/>
        </w:rPr>
        <w:t>Law</w:t>
      </w:r>
      <w:r w:rsidRPr="003A78F3">
        <w:rPr>
          <w:rFonts w:cs="Calibri"/>
          <w:lang w:val="en-GB"/>
        </w:rPr>
        <w:t xml:space="preserve"> include </w:t>
      </w:r>
      <w:r w:rsidR="00CD3B62" w:rsidRPr="003A78F3">
        <w:rPr>
          <w:rFonts w:cs="Calibri"/>
          <w:lang w:val="en-GB"/>
        </w:rPr>
        <w:t>a</w:t>
      </w:r>
      <w:r w:rsidRPr="003A78F3">
        <w:rPr>
          <w:rFonts w:cs="Calibri"/>
          <w:lang w:val="en-GB"/>
        </w:rPr>
        <w:t xml:space="preserve"> provis</w:t>
      </w:r>
      <w:r w:rsidR="00CD3B62" w:rsidRPr="003A78F3">
        <w:rPr>
          <w:rFonts w:cs="Calibri"/>
          <w:lang w:val="en-GB"/>
        </w:rPr>
        <w:t xml:space="preserve">ion requiring </w:t>
      </w:r>
      <w:r w:rsidR="002A540C" w:rsidRPr="003A78F3">
        <w:rPr>
          <w:rFonts w:cs="Calibri"/>
          <w:lang w:val="en-GB"/>
        </w:rPr>
        <w:t>that the budget documentation be</w:t>
      </w:r>
      <w:r w:rsidR="00CD3B62" w:rsidRPr="003A78F3">
        <w:rPr>
          <w:rFonts w:cs="Calibri"/>
          <w:lang w:val="en-GB"/>
        </w:rPr>
        <w:t xml:space="preserve"> </w:t>
      </w:r>
      <w:r w:rsidR="002A540C" w:rsidRPr="003A78F3">
        <w:rPr>
          <w:rFonts w:cs="Calibri"/>
          <w:lang w:val="en-GB"/>
        </w:rPr>
        <w:t xml:space="preserve">more detailed </w:t>
      </w:r>
      <w:r w:rsidR="00CD3B62" w:rsidRPr="003A78F3">
        <w:rPr>
          <w:rFonts w:cs="Calibri"/>
          <w:lang w:val="en-GB"/>
        </w:rPr>
        <w:t xml:space="preserve">as well as one that </w:t>
      </w:r>
      <w:r w:rsidR="002A540C" w:rsidRPr="003A78F3">
        <w:rPr>
          <w:rFonts w:cs="Calibri"/>
          <w:lang w:val="en-GB"/>
        </w:rPr>
        <w:t>stipulates</w:t>
      </w:r>
      <w:r w:rsidR="00CD3B62" w:rsidRPr="003A78F3">
        <w:rPr>
          <w:rFonts w:cs="Calibri"/>
          <w:lang w:val="en-GB"/>
        </w:rPr>
        <w:t xml:space="preserve"> </w:t>
      </w:r>
      <w:r w:rsidR="002A540C" w:rsidRPr="003A78F3">
        <w:rPr>
          <w:rFonts w:cs="Calibri"/>
          <w:lang w:val="en-GB"/>
        </w:rPr>
        <w:t>that</w:t>
      </w:r>
      <w:r w:rsidRPr="003A78F3">
        <w:rPr>
          <w:rFonts w:cs="Calibri"/>
          <w:lang w:val="en-GB"/>
        </w:rPr>
        <w:t xml:space="preserve"> financial plans of </w:t>
      </w:r>
      <w:r w:rsidR="002A540C" w:rsidRPr="003A78F3">
        <w:rPr>
          <w:rFonts w:cs="Calibri"/>
          <w:lang w:val="en-GB"/>
        </w:rPr>
        <w:t>public</w:t>
      </w:r>
      <w:r w:rsidRPr="003A78F3">
        <w:rPr>
          <w:rFonts w:cs="Calibri"/>
          <w:lang w:val="en-GB"/>
        </w:rPr>
        <w:t xml:space="preserve"> enterprises </w:t>
      </w:r>
      <w:r w:rsidR="002A540C" w:rsidRPr="003A78F3">
        <w:rPr>
          <w:rFonts w:cs="Calibri"/>
          <w:lang w:val="en-GB"/>
        </w:rPr>
        <w:t>with</w:t>
      </w:r>
      <w:r w:rsidRPr="003A78F3">
        <w:rPr>
          <w:rFonts w:cs="Calibri"/>
          <w:lang w:val="en-GB"/>
        </w:rPr>
        <w:t xml:space="preserve"> </w:t>
      </w:r>
      <w:r w:rsidR="002A540C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 xml:space="preserve">share of public revenues in total revenues </w:t>
      </w:r>
      <w:r w:rsidR="002A540C" w:rsidRPr="003A78F3">
        <w:rPr>
          <w:rFonts w:cs="Calibri"/>
          <w:lang w:val="en-GB"/>
        </w:rPr>
        <w:t>higher</w:t>
      </w:r>
      <w:r w:rsidRPr="003A78F3">
        <w:rPr>
          <w:rFonts w:cs="Calibri"/>
          <w:lang w:val="en-GB"/>
        </w:rPr>
        <w:t xml:space="preserve"> than 50% and</w:t>
      </w:r>
      <w:r w:rsidR="002A540C" w:rsidRPr="003A78F3">
        <w:rPr>
          <w:rFonts w:cs="Calibri"/>
          <w:lang w:val="en-GB"/>
        </w:rPr>
        <w:t xml:space="preserve"> of those</w:t>
      </w:r>
      <w:r w:rsidRPr="003A78F3">
        <w:rPr>
          <w:rFonts w:cs="Calibri"/>
          <w:lang w:val="en-GB"/>
        </w:rPr>
        <w:t xml:space="preserve"> companies for which the Ministry of Finance has issued </w:t>
      </w:r>
      <w:r w:rsidR="002A540C" w:rsidRPr="003A78F3">
        <w:rPr>
          <w:rFonts w:cs="Calibri"/>
          <w:lang w:val="en-GB"/>
        </w:rPr>
        <w:t xml:space="preserve">borrowing </w:t>
      </w:r>
      <w:r w:rsidRPr="003A78F3">
        <w:rPr>
          <w:rFonts w:cs="Calibri"/>
          <w:lang w:val="en-GB"/>
        </w:rPr>
        <w:t xml:space="preserve">guarantees </w:t>
      </w:r>
      <w:r w:rsidR="00DB149E">
        <w:rPr>
          <w:rFonts w:cs="Calibri"/>
          <w:lang w:val="en-GB"/>
        </w:rPr>
        <w:t>must</w:t>
      </w:r>
      <w:r w:rsidR="002A540C" w:rsidRPr="003A78F3">
        <w:rPr>
          <w:rFonts w:cs="Calibri"/>
          <w:lang w:val="en-GB"/>
        </w:rPr>
        <w:t xml:space="preserve"> be enclosed as annex</w:t>
      </w:r>
      <w:r w:rsidR="00DB149E">
        <w:rPr>
          <w:rFonts w:cs="Calibri"/>
          <w:lang w:val="en-GB"/>
        </w:rPr>
        <w:t>es</w:t>
      </w:r>
      <w:r w:rsidR="002A540C" w:rsidRPr="003A78F3">
        <w:rPr>
          <w:rFonts w:cs="Calibri"/>
          <w:lang w:val="en-GB"/>
        </w:rPr>
        <w:t xml:space="preserve"> to the BFP</w:t>
      </w:r>
      <w:r w:rsidRPr="003A78F3">
        <w:rPr>
          <w:rFonts w:cs="Calibri"/>
          <w:lang w:val="en-GB"/>
        </w:rPr>
        <w:t>.</w:t>
      </w:r>
    </w:p>
    <w:p w:rsidR="00A97C31" w:rsidRPr="003A78F3" w:rsidRDefault="001B50E2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The 2015-2017 Budget Framework Paper</w:t>
      </w:r>
      <w:r w:rsidR="00622566" w:rsidRPr="003A78F3">
        <w:rPr>
          <w:rFonts w:cs="Calibri"/>
          <w:lang w:val="en-GB"/>
        </w:rPr>
        <w:t xml:space="preserve"> of </w:t>
      </w:r>
      <w:r w:rsidRPr="003A78F3">
        <w:rPr>
          <w:rFonts w:cs="Calibri"/>
          <w:lang w:val="en-GB"/>
        </w:rPr>
        <w:t xml:space="preserve">FBiH </w:t>
      </w:r>
      <w:r w:rsidR="00622566" w:rsidRPr="003A78F3">
        <w:rPr>
          <w:rFonts w:cs="Calibri"/>
          <w:lang w:val="en-GB"/>
        </w:rPr>
        <w:t xml:space="preserve">was </w:t>
      </w:r>
      <w:r w:rsidRPr="003A78F3">
        <w:rPr>
          <w:rFonts w:cs="Calibri"/>
          <w:lang w:val="en-GB"/>
        </w:rPr>
        <w:t xml:space="preserve">prepared in accordance with </w:t>
      </w:r>
      <w:r w:rsidR="00622566" w:rsidRPr="003A78F3">
        <w:rPr>
          <w:rFonts w:cs="Calibri"/>
          <w:lang w:val="en-GB"/>
        </w:rPr>
        <w:t>the Law on Budget</w:t>
      </w:r>
      <w:r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 of </w:t>
      </w:r>
      <w:r w:rsidRPr="003A78F3">
        <w:rPr>
          <w:rFonts w:cs="Calibri"/>
          <w:lang w:val="en-GB"/>
        </w:rPr>
        <w:t>FBiH. It constitutes</w:t>
      </w:r>
      <w:r w:rsidR="00622566" w:rsidRPr="003A78F3">
        <w:rPr>
          <w:rFonts w:cs="Calibri"/>
          <w:lang w:val="en-GB"/>
        </w:rPr>
        <w:t xml:space="preserve"> the preliminary draft budget of </w:t>
      </w:r>
      <w:r w:rsidRPr="003A78F3">
        <w:rPr>
          <w:rFonts w:cs="Calibri"/>
          <w:lang w:val="en-GB"/>
        </w:rPr>
        <w:t>F</w:t>
      </w:r>
      <w:r w:rsidR="00622566" w:rsidRPr="003A78F3">
        <w:rPr>
          <w:rFonts w:cs="Calibri"/>
          <w:lang w:val="en-GB"/>
        </w:rPr>
        <w:t>BiH for 2015 and contains the preliminary budget projections for 2016 and 2017.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</w:t>
      </w:r>
      <w:r w:rsidR="001B50E2" w:rsidRPr="003A78F3">
        <w:rPr>
          <w:rFonts w:cs="Calibri"/>
          <w:lang w:val="en-GB"/>
        </w:rPr>
        <w:t>G</w:t>
      </w:r>
      <w:r w:rsidRPr="003A78F3">
        <w:rPr>
          <w:rFonts w:cs="Calibri"/>
          <w:lang w:val="en-GB"/>
        </w:rPr>
        <w:t xml:space="preserve">overnment </w:t>
      </w:r>
      <w:r w:rsidR="001B50E2" w:rsidRPr="003A78F3">
        <w:rPr>
          <w:rFonts w:cs="Calibri"/>
          <w:lang w:val="en-GB"/>
        </w:rPr>
        <w:t xml:space="preserve">of RS </w:t>
      </w:r>
      <w:r w:rsidRPr="003A78F3">
        <w:rPr>
          <w:rFonts w:cs="Calibri"/>
          <w:lang w:val="en-GB"/>
        </w:rPr>
        <w:t>prepar</w:t>
      </w:r>
      <w:r w:rsidR="001B50E2" w:rsidRPr="003A78F3">
        <w:rPr>
          <w:rFonts w:cs="Calibri"/>
          <w:lang w:val="en-GB"/>
        </w:rPr>
        <w:t>es</w:t>
      </w:r>
      <w:r w:rsidRPr="003A78F3">
        <w:rPr>
          <w:rFonts w:cs="Calibri"/>
          <w:lang w:val="en-GB"/>
        </w:rPr>
        <w:t xml:space="preserve"> </w:t>
      </w:r>
      <w:r w:rsidR="00597BBC" w:rsidRPr="003A78F3">
        <w:rPr>
          <w:rFonts w:cs="Calibri"/>
          <w:lang w:val="en-GB"/>
        </w:rPr>
        <w:t xml:space="preserve">one </w:t>
      </w:r>
      <w:r w:rsidR="001B50E2" w:rsidRPr="003A78F3">
        <w:rPr>
          <w:rFonts w:cs="Calibri"/>
          <w:lang w:val="en-GB"/>
        </w:rPr>
        <w:t>BFP</w:t>
      </w:r>
      <w:r w:rsidR="00597BBC" w:rsidRPr="003A78F3">
        <w:rPr>
          <w:rFonts w:cs="Calibri"/>
          <w:lang w:val="en-GB"/>
        </w:rPr>
        <w:t>,</w:t>
      </w:r>
      <w:r w:rsidRPr="003A78F3">
        <w:rPr>
          <w:rFonts w:cs="Calibri"/>
          <w:lang w:val="en-GB"/>
        </w:rPr>
        <w:t xml:space="preserve"> which includes projections for the entit</w:t>
      </w:r>
      <w:r w:rsidR="00597BBC" w:rsidRPr="003A78F3">
        <w:rPr>
          <w:rFonts w:cs="Calibri"/>
          <w:lang w:val="en-GB"/>
        </w:rPr>
        <w:t>y</w:t>
      </w:r>
      <w:r w:rsidRPr="003A78F3">
        <w:rPr>
          <w:rFonts w:cs="Calibri"/>
          <w:lang w:val="en-GB"/>
        </w:rPr>
        <w:t xml:space="preserve">, local governments and </w:t>
      </w:r>
      <w:r w:rsidR="001B50E2" w:rsidRPr="003A78F3">
        <w:rPr>
          <w:rFonts w:cs="Calibri"/>
          <w:lang w:val="en-GB"/>
        </w:rPr>
        <w:t>extra-budgetary</w:t>
      </w:r>
      <w:r w:rsidRPr="003A78F3">
        <w:rPr>
          <w:rFonts w:cs="Calibri"/>
          <w:lang w:val="en-GB"/>
        </w:rPr>
        <w:t xml:space="preserve"> funds. </w:t>
      </w:r>
      <w:r w:rsidR="00597BBC" w:rsidRPr="003A78F3">
        <w:rPr>
          <w:rFonts w:cs="Calibri"/>
          <w:lang w:val="en-GB"/>
        </w:rPr>
        <w:t>All budget beneficiaries participate i</w:t>
      </w:r>
      <w:r w:rsidRPr="003A78F3">
        <w:rPr>
          <w:rFonts w:cs="Calibri"/>
          <w:lang w:val="en-GB"/>
        </w:rPr>
        <w:t xml:space="preserve">n the preparation of </w:t>
      </w:r>
      <w:r w:rsidR="00597BBC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>BFP (RS, local government</w:t>
      </w:r>
      <w:r w:rsidR="00BA2E10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 and extra budgetary funds) as defined </w:t>
      </w:r>
      <w:r w:rsidR="00597BBC" w:rsidRPr="003A78F3">
        <w:rPr>
          <w:rFonts w:cs="Calibri"/>
          <w:lang w:val="en-GB"/>
        </w:rPr>
        <w:t xml:space="preserve">by the </w:t>
      </w:r>
      <w:r w:rsidRPr="003A78F3">
        <w:rPr>
          <w:rFonts w:cs="Calibri"/>
          <w:lang w:val="en-GB"/>
        </w:rPr>
        <w:t>budget calendar.</w:t>
      </w:r>
    </w:p>
    <w:p w:rsidR="00A97C31" w:rsidRPr="003A78F3" w:rsidRDefault="00BA2E10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2015-2017 </w:t>
      </w:r>
      <w:r w:rsidR="00622566" w:rsidRPr="003A78F3">
        <w:rPr>
          <w:rFonts w:cs="Calibri"/>
          <w:lang w:val="en-GB"/>
        </w:rPr>
        <w:t xml:space="preserve">Budget Framework Paper </w:t>
      </w:r>
      <w:r w:rsidRPr="003A78F3">
        <w:rPr>
          <w:rFonts w:cs="Calibri"/>
          <w:lang w:val="en-GB"/>
        </w:rPr>
        <w:t>of RS</w:t>
      </w:r>
      <w:r w:rsidR="00622566" w:rsidRPr="003A78F3">
        <w:rPr>
          <w:rFonts w:cs="Calibri"/>
          <w:lang w:val="en-GB"/>
        </w:rPr>
        <w:t xml:space="preserve"> includes analys</w:t>
      </w:r>
      <w:r w:rsidRPr="003A78F3">
        <w:rPr>
          <w:rFonts w:cs="Calibri"/>
          <w:lang w:val="en-GB"/>
        </w:rPr>
        <w:t>e</w:t>
      </w:r>
      <w:r w:rsidR="00622566" w:rsidRPr="003A78F3">
        <w:rPr>
          <w:rFonts w:cs="Calibri"/>
          <w:lang w:val="en-GB"/>
        </w:rPr>
        <w:t>s and projections</w:t>
      </w:r>
      <w:r w:rsidRPr="003A78F3">
        <w:rPr>
          <w:rFonts w:cs="Calibri"/>
          <w:lang w:val="en-GB"/>
        </w:rPr>
        <w:t xml:space="preserve"> of</w:t>
      </w:r>
      <w:r w:rsidR="00622566" w:rsidRPr="003A78F3">
        <w:rPr>
          <w:rFonts w:cs="Calibri"/>
          <w:lang w:val="en-GB"/>
        </w:rPr>
        <w:t xml:space="preserve">: the budget for the central </w:t>
      </w:r>
      <w:r w:rsidRPr="003A78F3">
        <w:rPr>
          <w:rFonts w:cs="Calibri"/>
          <w:lang w:val="en-GB"/>
        </w:rPr>
        <w:t>G</w:t>
      </w:r>
      <w:r w:rsidR="00622566" w:rsidRPr="003A78F3">
        <w:rPr>
          <w:rFonts w:cs="Calibri"/>
          <w:lang w:val="en-GB"/>
        </w:rPr>
        <w:t xml:space="preserve">overnment of the </w:t>
      </w:r>
      <w:r w:rsidR="00B94524" w:rsidRPr="003A78F3">
        <w:rPr>
          <w:rFonts w:cs="Calibri"/>
          <w:lang w:val="en-GB"/>
        </w:rPr>
        <w:t>Republika Srpska</w:t>
      </w:r>
      <w:r w:rsidR="00622566" w:rsidRPr="003A78F3">
        <w:rPr>
          <w:rFonts w:cs="Calibri"/>
          <w:lang w:val="en-GB"/>
        </w:rPr>
        <w:t>, budgets of local governments,</w:t>
      </w:r>
      <w:r w:rsidRPr="003A78F3">
        <w:rPr>
          <w:rFonts w:cs="Calibri"/>
          <w:lang w:val="en-GB"/>
        </w:rPr>
        <w:t xml:space="preserve"> and</w:t>
      </w:r>
      <w:r w:rsidR="00622566" w:rsidRPr="003A78F3">
        <w:rPr>
          <w:rFonts w:cs="Calibri"/>
          <w:lang w:val="en-GB"/>
        </w:rPr>
        <w:t xml:space="preserve"> financial plans of extra-budgetary funds, </w:t>
      </w:r>
      <w:r w:rsidRPr="003A78F3">
        <w:rPr>
          <w:rFonts w:cs="Calibri"/>
          <w:lang w:val="en-GB"/>
        </w:rPr>
        <w:t>public enterprise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>“</w:t>
      </w:r>
      <w:r w:rsidR="00622566" w:rsidRPr="003A78F3">
        <w:rPr>
          <w:rFonts w:cs="Calibri"/>
          <w:lang w:val="en-GB"/>
        </w:rPr>
        <w:t xml:space="preserve">Roads of the </w:t>
      </w:r>
      <w:r w:rsidR="00B94524" w:rsidRPr="003A78F3">
        <w:rPr>
          <w:rFonts w:cs="Calibri"/>
          <w:lang w:val="en-GB"/>
        </w:rPr>
        <w:t>Republika Srpska</w:t>
      </w:r>
      <w:r w:rsidRPr="003A78F3">
        <w:rPr>
          <w:rFonts w:cs="Calibri"/>
          <w:lang w:val="en-GB"/>
        </w:rPr>
        <w:t>”</w:t>
      </w:r>
      <w:r w:rsidR="00622566" w:rsidRPr="003A78F3">
        <w:rPr>
          <w:rFonts w:cs="Calibri"/>
          <w:lang w:val="en-GB"/>
        </w:rPr>
        <w:t xml:space="preserve"> and </w:t>
      </w:r>
      <w:r w:rsidRPr="003A78F3">
        <w:rPr>
          <w:rFonts w:cs="Calibri"/>
          <w:lang w:val="en-GB"/>
        </w:rPr>
        <w:t>public enterprise “</w:t>
      </w:r>
      <w:r w:rsidR="00622566" w:rsidRPr="003A78F3">
        <w:rPr>
          <w:rFonts w:cs="Calibri"/>
          <w:lang w:val="en-GB"/>
        </w:rPr>
        <w:t xml:space="preserve">Highways of the </w:t>
      </w:r>
      <w:r w:rsidR="00B94524" w:rsidRPr="003A78F3">
        <w:rPr>
          <w:rFonts w:cs="Calibri"/>
          <w:lang w:val="en-GB"/>
        </w:rPr>
        <w:t>Republika Srpska</w:t>
      </w:r>
      <w:r w:rsidRPr="003A78F3">
        <w:rPr>
          <w:rFonts w:cs="Calibri"/>
          <w:lang w:val="en-GB"/>
        </w:rPr>
        <w:t>”</w:t>
      </w:r>
      <w:r w:rsidR="00622566" w:rsidRPr="003A78F3">
        <w:rPr>
          <w:rFonts w:cs="Calibri"/>
          <w:lang w:val="en-GB"/>
        </w:rPr>
        <w:t xml:space="preserve">. </w:t>
      </w:r>
      <w:r w:rsidRPr="003A78F3">
        <w:rPr>
          <w:rFonts w:cs="Calibri"/>
          <w:lang w:val="en-GB"/>
        </w:rPr>
        <w:t>As part of the</w:t>
      </w:r>
      <w:r w:rsidR="00622566" w:rsidRPr="003A78F3">
        <w:rPr>
          <w:rFonts w:cs="Calibri"/>
          <w:lang w:val="en-GB"/>
        </w:rPr>
        <w:t xml:space="preserve"> </w:t>
      </w:r>
      <w:r w:rsidR="001B50E2" w:rsidRPr="003A78F3">
        <w:rPr>
          <w:rFonts w:cs="Calibri"/>
          <w:lang w:val="en-GB"/>
        </w:rPr>
        <w:t>BFP</w:t>
      </w:r>
      <w:r w:rsidRPr="003A78F3">
        <w:rPr>
          <w:rFonts w:cs="Calibri"/>
          <w:lang w:val="en-GB"/>
        </w:rPr>
        <w:t xml:space="preserve"> data</w:t>
      </w:r>
      <w:r w:rsidR="00622566" w:rsidRPr="003A78F3">
        <w:rPr>
          <w:rFonts w:cs="Calibri"/>
          <w:lang w:val="en-GB"/>
        </w:rPr>
        <w:t>, besides the Budget of the Republi</w:t>
      </w:r>
      <w:r w:rsidRPr="003A78F3">
        <w:rPr>
          <w:rFonts w:cs="Calibri"/>
          <w:lang w:val="en-GB"/>
        </w:rPr>
        <w:t>ka Srpska</w:t>
      </w:r>
      <w:r w:rsidR="00622566" w:rsidRPr="003A78F3">
        <w:rPr>
          <w:rFonts w:cs="Calibri"/>
          <w:lang w:val="en-GB"/>
        </w:rPr>
        <w:t xml:space="preserve">, </w:t>
      </w:r>
      <w:r w:rsidRPr="003A78F3">
        <w:rPr>
          <w:rFonts w:cs="Calibri"/>
          <w:lang w:val="en-GB"/>
        </w:rPr>
        <w:t>there are also data on funds for</w:t>
      </w:r>
      <w:r w:rsidR="00622566" w:rsidRPr="003A78F3">
        <w:rPr>
          <w:rFonts w:cs="Calibri"/>
          <w:lang w:val="en-GB"/>
        </w:rPr>
        <w:t xml:space="preserve"> projects financed from the ESCROW account (Development Program</w:t>
      </w:r>
      <w:r w:rsidRPr="003A78F3">
        <w:rPr>
          <w:rFonts w:cs="Calibri"/>
          <w:lang w:val="en-GB"/>
        </w:rPr>
        <w:t>me</w:t>
      </w:r>
      <w:r w:rsidR="00622566" w:rsidRPr="003A78F3">
        <w:rPr>
          <w:rFonts w:cs="Calibri"/>
          <w:lang w:val="en-GB"/>
        </w:rPr>
        <w:t xml:space="preserve"> of the </w:t>
      </w:r>
      <w:r w:rsidR="00B94524" w:rsidRPr="003A78F3">
        <w:rPr>
          <w:rFonts w:cs="Calibri"/>
          <w:lang w:val="en-GB"/>
        </w:rPr>
        <w:t>Republika Srpska</w:t>
      </w:r>
      <w:r w:rsidR="00622566" w:rsidRPr="003A78F3">
        <w:rPr>
          <w:rFonts w:cs="Calibri"/>
          <w:lang w:val="en-GB"/>
        </w:rPr>
        <w:t xml:space="preserve">), projects financed from abroad, projections of the </w:t>
      </w:r>
      <w:r w:rsidR="00A061E2" w:rsidRPr="003A78F3">
        <w:rPr>
          <w:rFonts w:cs="Calibri"/>
          <w:lang w:val="en-GB"/>
        </w:rPr>
        <w:t xml:space="preserve">RS budget </w:t>
      </w:r>
      <w:r w:rsidRPr="003A78F3">
        <w:rPr>
          <w:rFonts w:cs="Calibri"/>
          <w:lang w:val="en-GB"/>
        </w:rPr>
        <w:t>beneficiaries which</w:t>
      </w:r>
      <w:r w:rsidR="00622566" w:rsidRPr="003A78F3">
        <w:rPr>
          <w:rFonts w:cs="Calibri"/>
          <w:lang w:val="en-GB"/>
        </w:rPr>
        <w:t xml:space="preserve"> operate </w:t>
      </w:r>
      <w:r w:rsidR="00A061E2" w:rsidRPr="003A78F3">
        <w:rPr>
          <w:rFonts w:cs="Calibri"/>
          <w:lang w:val="en-GB"/>
        </w:rPr>
        <w:t xml:space="preserve">within the </w:t>
      </w:r>
      <w:r w:rsidR="00622566" w:rsidRPr="003A78F3">
        <w:rPr>
          <w:rFonts w:cs="Calibri"/>
          <w:lang w:val="en-GB"/>
        </w:rPr>
        <w:t>Treasury General Ledger (TGL)</w:t>
      </w:r>
      <w:r w:rsidR="00A061E2" w:rsidRPr="003A78F3">
        <w:rPr>
          <w:rFonts w:cs="Calibri"/>
          <w:lang w:val="en-GB"/>
        </w:rPr>
        <w:t xml:space="preserve"> system,</w:t>
      </w:r>
      <w:r w:rsidR="00622566" w:rsidRPr="003A78F3">
        <w:rPr>
          <w:rFonts w:cs="Calibri"/>
          <w:lang w:val="en-GB"/>
        </w:rPr>
        <w:t xml:space="preserve"> and projections </w:t>
      </w:r>
      <w:r w:rsidR="00A061E2" w:rsidRPr="003A78F3">
        <w:rPr>
          <w:rFonts w:cs="Calibri"/>
          <w:lang w:val="en-GB"/>
        </w:rPr>
        <w:t xml:space="preserve">of the </w:t>
      </w:r>
      <w:r w:rsidR="003B184D" w:rsidRPr="003A78F3">
        <w:rPr>
          <w:rFonts w:cs="Calibri"/>
          <w:lang w:val="en-GB"/>
        </w:rPr>
        <w:t xml:space="preserve">RS budget </w:t>
      </w:r>
      <w:r w:rsidR="00A061E2" w:rsidRPr="003A78F3">
        <w:rPr>
          <w:rFonts w:cs="Calibri"/>
          <w:lang w:val="en-GB"/>
        </w:rPr>
        <w:t xml:space="preserve">beneficiaries </w:t>
      </w:r>
      <w:r w:rsidR="007E17D4" w:rsidRPr="003A78F3">
        <w:rPr>
          <w:rFonts w:cs="Calibri"/>
          <w:lang w:val="en-GB"/>
        </w:rPr>
        <w:t>that</w:t>
      </w:r>
      <w:r w:rsidR="00A061E2" w:rsidRPr="003A78F3">
        <w:rPr>
          <w:rFonts w:cs="Calibri"/>
          <w:lang w:val="en-GB"/>
        </w:rPr>
        <w:t xml:space="preserve"> </w:t>
      </w:r>
      <w:r w:rsidR="00622566" w:rsidRPr="003A78F3">
        <w:rPr>
          <w:rFonts w:cs="Calibri"/>
          <w:lang w:val="en-GB"/>
        </w:rPr>
        <w:t>have</w:t>
      </w:r>
      <w:r w:rsidR="007E17D4" w:rsidRPr="003A78F3">
        <w:rPr>
          <w:rFonts w:cs="Calibri"/>
          <w:lang w:val="en-GB"/>
        </w:rPr>
        <w:t xml:space="preserve"> their own</w:t>
      </w:r>
      <w:r w:rsidR="00622566" w:rsidRPr="003A78F3">
        <w:rPr>
          <w:rFonts w:cs="Calibri"/>
          <w:lang w:val="en-GB"/>
        </w:rPr>
        <w:t xml:space="preserve"> bank accounts and operate outside the </w:t>
      </w:r>
      <w:r w:rsidR="00A061E2" w:rsidRPr="003A78F3">
        <w:rPr>
          <w:rFonts w:cs="Calibri"/>
          <w:lang w:val="en-GB"/>
        </w:rPr>
        <w:t>TGL system</w:t>
      </w:r>
      <w:r w:rsidR="00622566" w:rsidRPr="003A78F3">
        <w:rPr>
          <w:rFonts w:cs="Calibri"/>
          <w:lang w:val="en-GB"/>
        </w:rPr>
        <w:t>.</w:t>
      </w:r>
    </w:p>
    <w:p w:rsidR="00A97C31" w:rsidRPr="003A78F3" w:rsidRDefault="003B184D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The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 xml:space="preserve">2015-2017 </w:t>
      </w:r>
      <w:r w:rsidR="00622566" w:rsidRPr="003A78F3">
        <w:rPr>
          <w:rFonts w:cs="Calibri"/>
          <w:lang w:val="en-GB"/>
        </w:rPr>
        <w:t xml:space="preserve">Budget Framework </w:t>
      </w:r>
      <w:r w:rsidRPr="003A78F3">
        <w:rPr>
          <w:rFonts w:cs="Calibri"/>
          <w:lang w:val="en-GB"/>
        </w:rPr>
        <w:t>Papers were</w:t>
      </w:r>
      <w:r w:rsidR="00622566" w:rsidRPr="003A78F3">
        <w:rPr>
          <w:rFonts w:cs="Calibri"/>
          <w:lang w:val="en-GB"/>
        </w:rPr>
        <w:t xml:space="preserve"> prepared </w:t>
      </w:r>
      <w:r w:rsidRPr="003A78F3">
        <w:rPr>
          <w:rFonts w:cs="Calibri"/>
          <w:lang w:val="en-GB"/>
        </w:rPr>
        <w:t>transparently</w:t>
      </w:r>
      <w:r w:rsidR="00622566" w:rsidRPr="003A78F3">
        <w:rPr>
          <w:rFonts w:cs="Calibri"/>
          <w:lang w:val="en-GB"/>
        </w:rPr>
        <w:t xml:space="preserve"> for the Institutions of BiH and for both entities and are available on the website</w:t>
      </w:r>
      <w:r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 of the </w:t>
      </w:r>
      <w:r w:rsidRPr="003A78F3">
        <w:rPr>
          <w:rFonts w:cs="Calibri"/>
          <w:lang w:val="en-GB"/>
        </w:rPr>
        <w:t xml:space="preserve">respective </w:t>
      </w:r>
      <w:r w:rsidR="00622566" w:rsidRPr="003A78F3">
        <w:rPr>
          <w:rFonts w:cs="Calibri"/>
          <w:lang w:val="en-GB"/>
        </w:rPr>
        <w:t xml:space="preserve">ministries of finance. </w:t>
      </w:r>
    </w:p>
    <w:p w:rsidR="00A97C31" w:rsidRPr="003A78F3" w:rsidRDefault="003B184D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Budget-related l</w:t>
      </w:r>
      <w:r w:rsidR="00622566" w:rsidRPr="003A78F3">
        <w:rPr>
          <w:rFonts w:cs="Calibri"/>
          <w:lang w:val="en-GB"/>
        </w:rPr>
        <w:t xml:space="preserve">egislation for the level of </w:t>
      </w:r>
      <w:r w:rsidRPr="003A78F3">
        <w:rPr>
          <w:rFonts w:cs="Calibri"/>
          <w:lang w:val="en-GB"/>
        </w:rPr>
        <w:t xml:space="preserve">Institutions of BiH </w:t>
      </w:r>
      <w:r w:rsidR="00622566" w:rsidRPr="003A78F3">
        <w:rPr>
          <w:rFonts w:cs="Calibri"/>
          <w:lang w:val="en-GB"/>
        </w:rPr>
        <w:t xml:space="preserve">and both </w:t>
      </w:r>
      <w:r w:rsidR="00662C21" w:rsidRPr="003A78F3">
        <w:rPr>
          <w:rFonts w:cs="Calibri"/>
          <w:lang w:val="en-GB"/>
        </w:rPr>
        <w:t>E</w:t>
      </w:r>
      <w:r w:rsidR="00622566" w:rsidRPr="003A78F3">
        <w:rPr>
          <w:rFonts w:cs="Calibri"/>
          <w:lang w:val="en-GB"/>
        </w:rPr>
        <w:t>ntities is harmoni</w:t>
      </w:r>
      <w:r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ed in the part that refers to the process of adopting annual budgets according to the </w:t>
      </w:r>
      <w:r w:rsidRPr="003A78F3">
        <w:rPr>
          <w:rFonts w:cs="Calibri"/>
          <w:lang w:val="en-GB"/>
        </w:rPr>
        <w:t>“ten-step” principle</w:t>
      </w:r>
      <w:r w:rsidR="00622566" w:rsidRPr="003A78F3">
        <w:rPr>
          <w:rFonts w:cs="Calibri"/>
          <w:lang w:val="en-GB"/>
        </w:rPr>
        <w:t xml:space="preserve">, while the </w:t>
      </w:r>
      <w:r w:rsidR="00B94524" w:rsidRPr="003A78F3">
        <w:rPr>
          <w:rFonts w:cs="Calibri"/>
          <w:lang w:val="en-GB"/>
        </w:rPr>
        <w:t>Brčko</w:t>
      </w:r>
      <w:r w:rsidR="00622566" w:rsidRPr="003A78F3">
        <w:rPr>
          <w:rFonts w:cs="Calibri"/>
          <w:lang w:val="en-GB"/>
        </w:rPr>
        <w:t xml:space="preserve"> District </w:t>
      </w:r>
      <w:r w:rsidR="001F22DA" w:rsidRPr="003A78F3">
        <w:rPr>
          <w:rFonts w:cs="Calibri"/>
          <w:lang w:val="en-GB"/>
        </w:rPr>
        <w:t xml:space="preserve">uses </w:t>
      </w:r>
      <w:r w:rsidR="00622566" w:rsidRPr="003A78F3">
        <w:rPr>
          <w:rFonts w:cs="Calibri"/>
          <w:lang w:val="en-GB"/>
        </w:rPr>
        <w:t xml:space="preserve">the Budget Law of 2008, which </w:t>
      </w:r>
      <w:r w:rsidR="001F22DA" w:rsidRPr="003A78F3">
        <w:rPr>
          <w:rFonts w:cs="Calibri"/>
          <w:lang w:val="en-GB"/>
        </w:rPr>
        <w:t xml:space="preserve">has yet to be </w:t>
      </w:r>
      <w:r w:rsidR="00622566" w:rsidRPr="003A78F3">
        <w:rPr>
          <w:rFonts w:cs="Calibri"/>
          <w:lang w:val="en-GB"/>
        </w:rPr>
        <w:t>harmoni</w:t>
      </w:r>
      <w:r w:rsidR="001F22DA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ed with the laws of the other </w:t>
      </w:r>
      <w:r w:rsidR="001F22DA" w:rsidRPr="003A78F3">
        <w:rPr>
          <w:rFonts w:cs="Calibri"/>
          <w:lang w:val="en-GB"/>
        </w:rPr>
        <w:t xml:space="preserve">government </w:t>
      </w:r>
      <w:r w:rsidR="00622566" w:rsidRPr="003A78F3">
        <w:rPr>
          <w:rFonts w:cs="Calibri"/>
          <w:lang w:val="en-GB"/>
        </w:rPr>
        <w:t>levels.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Budgets are planned and recorded using a variety of software, ranging from simple Excel </w:t>
      </w:r>
      <w:r w:rsidR="001F22DA" w:rsidRPr="003A78F3">
        <w:rPr>
          <w:rFonts w:cs="Calibri"/>
          <w:lang w:val="en-GB"/>
        </w:rPr>
        <w:t>spreadsheets</w:t>
      </w:r>
      <w:r w:rsidRPr="003A78F3">
        <w:rPr>
          <w:rFonts w:cs="Calibri"/>
          <w:lang w:val="en-GB"/>
        </w:rPr>
        <w:t xml:space="preserve"> to the latest budget management </w:t>
      </w:r>
      <w:r w:rsidR="001F22DA" w:rsidRPr="003A78F3">
        <w:rPr>
          <w:rFonts w:cs="Calibri"/>
          <w:lang w:val="en-GB"/>
        </w:rPr>
        <w:t xml:space="preserve">software </w:t>
      </w:r>
      <w:r w:rsidRPr="003A78F3">
        <w:rPr>
          <w:rFonts w:cs="Calibri"/>
          <w:lang w:val="en-GB"/>
        </w:rPr>
        <w:t>(BPMIS</w:t>
      </w:r>
      <w:r w:rsidRPr="003A78F3">
        <w:rPr>
          <w:rFonts w:cs="Calibri"/>
          <w:vertAlign w:val="superscript"/>
          <w:lang w:val="en-GB"/>
        </w:rPr>
        <w:footnoteReference w:id="3"/>
      </w:r>
      <w:r w:rsidRPr="003A78F3">
        <w:rPr>
          <w:rFonts w:cs="Calibri"/>
          <w:lang w:val="en-GB"/>
        </w:rPr>
        <w:t xml:space="preserve">). </w:t>
      </w:r>
      <w:r w:rsidR="00662C21" w:rsidRPr="003A78F3">
        <w:rPr>
          <w:rFonts w:cs="Calibri"/>
          <w:lang w:val="en-GB"/>
        </w:rPr>
        <w:t>Year</w:t>
      </w:r>
      <w:r w:rsidRPr="003A78F3">
        <w:rPr>
          <w:rFonts w:cs="Calibri"/>
          <w:lang w:val="en-GB"/>
        </w:rPr>
        <w:t xml:space="preserve"> 2014 </w:t>
      </w:r>
      <w:r w:rsidR="00662C21" w:rsidRPr="003A78F3">
        <w:rPr>
          <w:rFonts w:cs="Calibri"/>
          <w:lang w:val="en-GB"/>
        </w:rPr>
        <w:t>marked the completion of the</w:t>
      </w:r>
      <w:r w:rsidRPr="003A78F3">
        <w:rPr>
          <w:rFonts w:cs="Calibri"/>
          <w:lang w:val="en-GB"/>
        </w:rPr>
        <w:t xml:space="preserve"> project </w:t>
      </w:r>
      <w:r w:rsidR="00662C21" w:rsidRPr="003A78F3">
        <w:rPr>
          <w:rFonts w:cs="Calibri"/>
          <w:lang w:val="en-GB"/>
        </w:rPr>
        <w:t>“</w:t>
      </w:r>
      <w:r w:rsidRPr="003A78F3">
        <w:rPr>
          <w:rFonts w:cs="Calibri"/>
          <w:lang w:val="en-GB"/>
        </w:rPr>
        <w:t xml:space="preserve">Gender Responsive Budgeting </w:t>
      </w:r>
      <w:r w:rsidR="00662C21" w:rsidRPr="003A78F3">
        <w:rPr>
          <w:rFonts w:cs="Calibri"/>
          <w:lang w:val="en-GB"/>
        </w:rPr>
        <w:t>–</w:t>
      </w:r>
      <w:r w:rsidRPr="003A78F3">
        <w:rPr>
          <w:rFonts w:cs="Calibri"/>
          <w:lang w:val="en-GB"/>
        </w:rPr>
        <w:t xml:space="preserve"> Expansion of </w:t>
      </w:r>
      <w:r w:rsidR="00662C21" w:rsidRPr="003A78F3">
        <w:rPr>
          <w:rFonts w:cs="Calibri"/>
          <w:lang w:val="en-GB"/>
        </w:rPr>
        <w:t>the budget management information system –</w:t>
      </w:r>
      <w:r w:rsidRPr="003A78F3">
        <w:rPr>
          <w:rFonts w:cs="Calibri"/>
          <w:lang w:val="en-GB"/>
        </w:rPr>
        <w:t xml:space="preserve"> BPMIS</w:t>
      </w:r>
      <w:r w:rsidR="00662C21" w:rsidRPr="003A78F3">
        <w:rPr>
          <w:rFonts w:cs="Calibri"/>
          <w:lang w:val="en-GB"/>
        </w:rPr>
        <w:t>”, which included a</w:t>
      </w:r>
      <w:r w:rsidRPr="003A78F3">
        <w:rPr>
          <w:rFonts w:cs="Calibri"/>
          <w:lang w:val="en-GB"/>
        </w:rPr>
        <w:t xml:space="preserve"> software component for gender responsi</w:t>
      </w:r>
      <w:r w:rsidR="00662C21" w:rsidRPr="003A78F3">
        <w:rPr>
          <w:rFonts w:cs="Calibri"/>
          <w:lang w:val="en-GB"/>
        </w:rPr>
        <w:t>ve</w:t>
      </w:r>
      <w:r w:rsidRPr="003A78F3">
        <w:rPr>
          <w:rFonts w:cs="Calibri"/>
          <w:lang w:val="en-GB"/>
        </w:rPr>
        <w:t xml:space="preserve"> budgeting. The </w:t>
      </w:r>
      <w:r w:rsidR="00662C21" w:rsidRPr="003A78F3">
        <w:rPr>
          <w:rFonts w:cs="Calibri"/>
          <w:lang w:val="en-GB"/>
        </w:rPr>
        <w:t xml:space="preserve">2015 </w:t>
      </w:r>
      <w:r w:rsidRPr="003A78F3">
        <w:rPr>
          <w:rFonts w:cs="Calibri"/>
          <w:lang w:val="en-GB"/>
        </w:rPr>
        <w:t xml:space="preserve">budgets for the Institutions of BiH and the Entities </w:t>
      </w:r>
      <w:r w:rsidR="00662C21" w:rsidRPr="003A78F3">
        <w:rPr>
          <w:rFonts w:cs="Calibri"/>
          <w:lang w:val="en-GB"/>
        </w:rPr>
        <w:t>we</w:t>
      </w:r>
      <w:r w:rsidRPr="003A78F3">
        <w:rPr>
          <w:rFonts w:cs="Calibri"/>
          <w:lang w:val="en-GB"/>
        </w:rPr>
        <w:t xml:space="preserve">re planned in the same format </w:t>
      </w:r>
      <w:r w:rsidR="00662C21" w:rsidRPr="003A78F3">
        <w:rPr>
          <w:rFonts w:cs="Calibri"/>
          <w:lang w:val="en-GB"/>
        </w:rPr>
        <w:t xml:space="preserve">in </w:t>
      </w:r>
      <w:r w:rsidRPr="003A78F3">
        <w:rPr>
          <w:rFonts w:cs="Calibri"/>
          <w:lang w:val="en-GB"/>
        </w:rPr>
        <w:t>BPMIS</w:t>
      </w:r>
      <w:r w:rsidR="00662C21" w:rsidRPr="003A78F3">
        <w:rPr>
          <w:rFonts w:cs="Calibri"/>
          <w:lang w:val="en-GB"/>
        </w:rPr>
        <w:t>.</w:t>
      </w:r>
      <w:r w:rsidRPr="003A78F3">
        <w:rPr>
          <w:rFonts w:cs="Calibri"/>
          <w:lang w:val="en-GB"/>
        </w:rPr>
        <w:t xml:space="preserve"> </w:t>
      </w:r>
      <w:r w:rsidR="00662C21" w:rsidRPr="003A78F3">
        <w:rPr>
          <w:rFonts w:cs="Calibri"/>
          <w:lang w:val="en-GB"/>
        </w:rPr>
        <w:t>H</w:t>
      </w:r>
      <w:r w:rsidRPr="003A78F3">
        <w:rPr>
          <w:rFonts w:cs="Calibri"/>
          <w:lang w:val="en-GB"/>
        </w:rPr>
        <w:t xml:space="preserve">owever, according to the staff in </w:t>
      </w:r>
      <w:r w:rsidR="00350466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>ministries of finance</w:t>
      </w:r>
      <w:r w:rsidR="00350466" w:rsidRPr="003A78F3">
        <w:rPr>
          <w:rFonts w:cs="Calibri"/>
          <w:lang w:val="en-GB"/>
        </w:rPr>
        <w:t>,</w:t>
      </w:r>
      <w:r w:rsidRPr="003A78F3">
        <w:rPr>
          <w:rFonts w:cs="Calibri"/>
          <w:lang w:val="en-GB"/>
        </w:rPr>
        <w:t xml:space="preserve"> this software is not compatible with </w:t>
      </w:r>
      <w:r w:rsidR="00350466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 xml:space="preserve">treasury software so budget execution </w:t>
      </w:r>
      <w:r w:rsidR="00350466" w:rsidRPr="003A78F3">
        <w:rPr>
          <w:rFonts w:cs="Calibri"/>
          <w:lang w:val="en-GB"/>
        </w:rPr>
        <w:t>is managed within the treasury system</w:t>
      </w:r>
      <w:r w:rsidRPr="003A78F3">
        <w:rPr>
          <w:rFonts w:cs="Calibri"/>
          <w:lang w:val="en-GB"/>
        </w:rPr>
        <w:t>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 w:eastAsia="ja-JP"/>
        </w:rPr>
        <w:lastRenderedPageBreak/>
        <w:t xml:space="preserve">Budget calendars </w:t>
      </w:r>
      <w:r w:rsidR="00350466" w:rsidRPr="003A78F3">
        <w:rPr>
          <w:rFonts w:cs="Calibri"/>
          <w:lang w:val="en-GB" w:eastAsia="ja-JP"/>
        </w:rPr>
        <w:t xml:space="preserve">of the </w:t>
      </w:r>
      <w:r w:rsidRPr="003A78F3">
        <w:rPr>
          <w:rFonts w:cs="Calibri"/>
          <w:lang w:val="en-GB" w:eastAsia="ja-JP"/>
        </w:rPr>
        <w:t xml:space="preserve">four government </w:t>
      </w:r>
      <w:r w:rsidR="00350466" w:rsidRPr="003A78F3">
        <w:rPr>
          <w:rFonts w:cs="Calibri"/>
          <w:lang w:val="en-GB" w:eastAsia="ja-JP"/>
        </w:rPr>
        <w:t xml:space="preserve">levels </w:t>
      </w:r>
      <w:r w:rsidRPr="003A78F3">
        <w:rPr>
          <w:rFonts w:cs="Calibri"/>
          <w:lang w:val="en-GB" w:eastAsia="ja-JP"/>
        </w:rPr>
        <w:t>(Table 1) are largely harmoni</w:t>
      </w:r>
      <w:r w:rsidR="00350466" w:rsidRPr="003A78F3">
        <w:rPr>
          <w:rFonts w:cs="Calibri"/>
          <w:lang w:val="en-GB" w:eastAsia="ja-JP"/>
        </w:rPr>
        <w:t>s</w:t>
      </w:r>
      <w:r w:rsidRPr="003A78F3">
        <w:rPr>
          <w:rFonts w:cs="Calibri"/>
          <w:lang w:val="en-GB" w:eastAsia="ja-JP"/>
        </w:rPr>
        <w:t xml:space="preserve">ed. However, it is important to note that only RS has no legal obligation to </w:t>
      </w:r>
      <w:r w:rsidR="00350466" w:rsidRPr="003A78F3">
        <w:rPr>
          <w:rFonts w:cs="Calibri"/>
          <w:lang w:val="en-GB" w:eastAsia="ja-JP"/>
        </w:rPr>
        <w:t>publish</w:t>
      </w:r>
      <w:r w:rsidRPr="003A78F3">
        <w:rPr>
          <w:rFonts w:cs="Calibri"/>
          <w:lang w:val="en-GB" w:eastAsia="ja-JP"/>
        </w:rPr>
        <w:t xml:space="preserve"> </w:t>
      </w:r>
      <w:r w:rsidR="00350466" w:rsidRPr="003A78F3">
        <w:rPr>
          <w:rFonts w:cs="Calibri"/>
          <w:lang w:val="en-GB" w:eastAsia="ja-JP"/>
        </w:rPr>
        <w:t xml:space="preserve">the </w:t>
      </w:r>
      <w:r w:rsidR="001B50E2" w:rsidRPr="003A78F3">
        <w:rPr>
          <w:rFonts w:cs="Calibri"/>
          <w:lang w:val="en-GB" w:eastAsia="ja-JP"/>
        </w:rPr>
        <w:t>BFP</w:t>
      </w:r>
      <w:r w:rsidRPr="003A78F3">
        <w:rPr>
          <w:rFonts w:cs="Calibri"/>
          <w:lang w:val="en-GB" w:eastAsia="ja-JP"/>
        </w:rPr>
        <w:t xml:space="preserve"> on</w:t>
      </w:r>
      <w:r w:rsidR="00350466" w:rsidRPr="003A78F3">
        <w:rPr>
          <w:rFonts w:cs="Calibri"/>
          <w:lang w:val="en-GB" w:eastAsia="ja-JP"/>
        </w:rPr>
        <w:t>line</w:t>
      </w:r>
      <w:r w:rsidRPr="003A78F3">
        <w:rPr>
          <w:rFonts w:cs="Calibri"/>
          <w:lang w:val="en-GB" w:eastAsia="ja-JP"/>
        </w:rPr>
        <w:t xml:space="preserve">, although in practice </w:t>
      </w:r>
      <w:r w:rsidR="00350466" w:rsidRPr="003A78F3">
        <w:rPr>
          <w:rFonts w:cs="Calibri"/>
          <w:lang w:val="en-GB" w:eastAsia="ja-JP"/>
        </w:rPr>
        <w:t xml:space="preserve">the </w:t>
      </w:r>
      <w:r w:rsidR="001B50E2" w:rsidRPr="003A78F3">
        <w:rPr>
          <w:rFonts w:cs="Calibri"/>
          <w:lang w:val="en-GB" w:eastAsia="ja-JP"/>
        </w:rPr>
        <w:t>BFP</w:t>
      </w:r>
      <w:r w:rsidRPr="003A78F3">
        <w:rPr>
          <w:rFonts w:cs="Calibri"/>
          <w:lang w:val="en-GB" w:eastAsia="ja-JP"/>
        </w:rPr>
        <w:t xml:space="preserve"> </w:t>
      </w:r>
      <w:r w:rsidR="00350466" w:rsidRPr="003A78F3">
        <w:rPr>
          <w:rFonts w:cs="Calibri"/>
          <w:lang w:val="en-GB" w:eastAsia="ja-JP"/>
        </w:rPr>
        <w:t xml:space="preserve">is </w:t>
      </w:r>
      <w:r w:rsidRPr="003A78F3">
        <w:rPr>
          <w:rFonts w:cs="Calibri"/>
          <w:lang w:val="en-GB" w:eastAsia="ja-JP"/>
        </w:rPr>
        <w:t>published on the website of the Ministry of Finance</w:t>
      </w:r>
      <w:r w:rsidR="00350466" w:rsidRPr="003A78F3">
        <w:rPr>
          <w:rFonts w:cs="Calibri"/>
          <w:lang w:val="en-GB" w:eastAsia="ja-JP"/>
        </w:rPr>
        <w:t xml:space="preserve"> of RS</w:t>
      </w:r>
      <w:r w:rsidRPr="003A78F3">
        <w:rPr>
          <w:rFonts w:cs="Calibri"/>
          <w:lang w:val="en-GB" w:eastAsia="ja-JP"/>
        </w:rPr>
        <w:t xml:space="preserve">. </w:t>
      </w:r>
      <w:r w:rsidR="00B94524" w:rsidRPr="003A78F3">
        <w:rPr>
          <w:rFonts w:cs="Calibri"/>
          <w:lang w:val="en-GB" w:eastAsia="ja-JP"/>
        </w:rPr>
        <w:t>Brčko</w:t>
      </w:r>
      <w:r w:rsidRPr="003A78F3">
        <w:rPr>
          <w:rFonts w:cs="Calibri"/>
          <w:lang w:val="en-GB" w:eastAsia="ja-JP"/>
        </w:rPr>
        <w:t xml:space="preserve"> District has an obligation to publish the </w:t>
      </w:r>
      <w:r w:rsidR="001B50E2" w:rsidRPr="003A78F3">
        <w:rPr>
          <w:rFonts w:cs="Calibri"/>
          <w:lang w:val="en-GB" w:eastAsia="ja-JP"/>
        </w:rPr>
        <w:t>BFP</w:t>
      </w:r>
      <w:r w:rsidRPr="003A78F3">
        <w:rPr>
          <w:rFonts w:cs="Calibri"/>
          <w:lang w:val="en-GB" w:eastAsia="ja-JP"/>
        </w:rPr>
        <w:t xml:space="preserve"> on</w:t>
      </w:r>
      <w:r w:rsidR="00350466" w:rsidRPr="003A78F3">
        <w:rPr>
          <w:rFonts w:cs="Calibri"/>
          <w:lang w:val="en-GB" w:eastAsia="ja-JP"/>
        </w:rPr>
        <w:t>line;</w:t>
      </w:r>
      <w:r w:rsidRPr="003A78F3">
        <w:rPr>
          <w:rFonts w:cs="Calibri"/>
          <w:lang w:val="en-GB" w:eastAsia="ja-JP"/>
        </w:rPr>
        <w:t xml:space="preserve"> however, </w:t>
      </w:r>
      <w:r w:rsidR="00350466" w:rsidRPr="003A78F3">
        <w:rPr>
          <w:rFonts w:cs="Calibri"/>
          <w:lang w:val="en-GB" w:eastAsia="ja-JP"/>
        </w:rPr>
        <w:t xml:space="preserve">it </w:t>
      </w:r>
      <w:r w:rsidRPr="003A78F3">
        <w:rPr>
          <w:rFonts w:cs="Calibri"/>
          <w:lang w:val="en-GB" w:eastAsia="ja-JP"/>
        </w:rPr>
        <w:t>does not comply with th</w:t>
      </w:r>
      <w:r w:rsidR="00350466" w:rsidRPr="003A78F3">
        <w:rPr>
          <w:rFonts w:cs="Calibri"/>
          <w:lang w:val="en-GB" w:eastAsia="ja-JP"/>
        </w:rPr>
        <w:t>is obligation</w:t>
      </w:r>
      <w:r w:rsidRPr="003A78F3">
        <w:rPr>
          <w:rFonts w:cs="Calibri"/>
          <w:lang w:val="en-GB" w:eastAsia="ja-JP"/>
        </w:rPr>
        <w:t xml:space="preserve">. </w:t>
      </w:r>
      <w:r w:rsidR="00350466" w:rsidRPr="003A78F3">
        <w:rPr>
          <w:rFonts w:cs="Calibri"/>
          <w:lang w:val="en-GB" w:eastAsia="ja-JP"/>
        </w:rPr>
        <w:t xml:space="preserve">The only BFP of the Brčko District available online </w:t>
      </w:r>
      <w:r w:rsidRPr="003A78F3">
        <w:rPr>
          <w:rFonts w:cs="Calibri"/>
          <w:lang w:val="en-GB" w:eastAsia="ja-JP"/>
        </w:rPr>
        <w:t xml:space="preserve">on the website of the Government </w:t>
      </w:r>
      <w:r w:rsidR="00350466" w:rsidRPr="003A78F3">
        <w:rPr>
          <w:rFonts w:cs="Calibri"/>
          <w:lang w:val="en-GB" w:eastAsia="ja-JP"/>
        </w:rPr>
        <w:t xml:space="preserve">of </w:t>
      </w:r>
      <w:r w:rsidRPr="003A78F3">
        <w:rPr>
          <w:rFonts w:cs="Calibri"/>
          <w:lang w:val="en-GB" w:eastAsia="ja-JP"/>
        </w:rPr>
        <w:t xml:space="preserve">BD </w:t>
      </w:r>
      <w:r w:rsidR="00350466" w:rsidRPr="003A78F3">
        <w:rPr>
          <w:rFonts w:cs="Calibri"/>
          <w:lang w:val="en-GB" w:eastAsia="ja-JP"/>
        </w:rPr>
        <w:t xml:space="preserve">is the 2012-2014 </w:t>
      </w:r>
      <w:r w:rsidRPr="003A78F3">
        <w:rPr>
          <w:rFonts w:cs="Calibri"/>
          <w:lang w:val="en-GB" w:eastAsia="ja-JP"/>
        </w:rPr>
        <w:t>Budget Framework Paper.</w:t>
      </w:r>
    </w:p>
    <w:p w:rsidR="00403657" w:rsidRPr="003A78F3" w:rsidRDefault="00403657">
      <w:pPr>
        <w:widowControl/>
        <w:spacing w:after="0" w:line="240" w:lineRule="auto"/>
        <w:rPr>
          <w:rFonts w:cs="Calibri"/>
          <w:lang w:val="en-GB" w:eastAsia="ja-JP"/>
        </w:rPr>
      </w:pPr>
      <w:r w:rsidRPr="003A78F3">
        <w:rPr>
          <w:rFonts w:cs="Calibri"/>
          <w:lang w:val="en-GB" w:eastAsia="ja-JP"/>
        </w:rPr>
        <w:br w:type="page"/>
      </w:r>
    </w:p>
    <w:p w:rsidR="00403657" w:rsidRPr="003A78F3" w:rsidRDefault="00403657" w:rsidP="00C93E93">
      <w:pPr>
        <w:spacing w:line="240" w:lineRule="auto"/>
        <w:ind w:left="2520" w:firstLine="420"/>
        <w:rPr>
          <w:rFonts w:cs="Calibri"/>
          <w:lang w:val="en-GB" w:eastAsia="ja-JP"/>
        </w:rPr>
      </w:pPr>
      <w:r w:rsidRPr="003A78F3">
        <w:rPr>
          <w:rFonts w:cs="Calibri"/>
          <w:lang w:val="en-GB" w:eastAsia="ja-JP"/>
        </w:rPr>
        <w:lastRenderedPageBreak/>
        <w:t>Table 1. Budget Calendar</w:t>
      </w:r>
    </w:p>
    <w:p w:rsidR="00E63559" w:rsidRPr="003A78F3" w:rsidRDefault="007B7870" w:rsidP="00403657">
      <w:pPr>
        <w:spacing w:line="240" w:lineRule="auto"/>
        <w:rPr>
          <w:rFonts w:cs="Calibri"/>
          <w:lang w:val="en-GB" w:eastAsia="ja-JP"/>
        </w:rPr>
      </w:pPr>
      <w:r>
        <w:rPr>
          <w:rFonts w:cs="Calibri"/>
          <w:lang w:val="en-GB" w:eastAsia="ja-JP"/>
        </w:rPr>
      </w:r>
      <w:r>
        <w:rPr>
          <w:rFonts w:cs="Calibri"/>
          <w:lang w:val="en-GB" w:eastAsia="ja-JP"/>
        </w:rPr>
        <w:pict>
          <v:group id="_x0000_s1028" editas="canvas" style="width:480.2pt;height:291.2pt;mso-position-horizontal-relative:char;mso-position-vertical-relative:line" coordsize="9604,58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604;height:5824" o:preferrelative="f">
              <v:fill o:detectmouseclick="t"/>
              <v:path o:extrusionok="t" o:connecttype="none"/>
              <o:lock v:ext="edit" text="t"/>
            </v:shape>
            <v:rect id="_x0000_s1029" style="position:absolute;width:9502;height:307" fillcolor="#9cf" stroked="f"/>
            <v:rect id="_x0000_s1030" style="position:absolute;top:584;width:9502;height:307" fillcolor="#ccf" stroked="f"/>
            <v:rect id="_x0000_s1031" style="position:absolute;top:1168;width:9502;height:307" fillcolor="#ccf" stroked="f"/>
            <v:rect id="_x0000_s1032" style="position:absolute;top:1752;width:9502;height:307" fillcolor="#ccf" stroked="f"/>
            <v:rect id="_x0000_s1033" style="position:absolute;top:2337;width:9502;height:306" fillcolor="#ccf" stroked="f"/>
            <v:rect id="_x0000_s1034" style="position:absolute;top:2921;width:9502;height:306" fillcolor="#ccf" stroked="f"/>
            <v:rect id="_x0000_s1035" style="position:absolute;top:3505;width:9502;height:307" fillcolor="#ccf" stroked="f"/>
            <v:rect id="_x0000_s1036" style="position:absolute;top:4089;width:9502;height:307" fillcolor="#ccf" stroked="f"/>
            <v:rect id="_x0000_s1037" style="position:absolute;top:4673;width:9502;height:307" fillcolor="#ccf" stroked="f"/>
            <v:rect id="_x0000_s1038" style="position:absolute;top:5257;width:9502;height:307" fillcolor="#ccf" stroked="f"/>
            <v:rect id="_x0000_s1039" style="position:absolute;left:5240;top:321;width:456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b/>
                        <w:bCs/>
                        <w:color w:val="000000"/>
                      </w:rPr>
                      <w:t>FBiH</w:t>
                    </w:r>
                  </w:p>
                </w:txbxContent>
              </v:textbox>
            </v:rect>
            <v:rect id="_x0000_s1040" style="position:absolute;left:6539;top:321;width:247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b/>
                        <w:bCs/>
                        <w:color w:val="000000"/>
                      </w:rPr>
                      <w:t>RS</w:t>
                    </w:r>
                  </w:p>
                </w:txbxContent>
              </v:textbox>
            </v:rect>
            <v:rect id="_x0000_s1041" style="position:absolute;left:7648;top:321;width:286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b/>
                        <w:bCs/>
                        <w:color w:val="000000"/>
                      </w:rPr>
                      <w:t>BD</w:t>
                    </w:r>
                  </w:p>
                </w:txbxContent>
              </v:textbox>
            </v:rect>
            <v:rect id="_x0000_s1042" style="position:absolute;left:8758;top:321;width:345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b/>
                        <w:bCs/>
                        <w:color w:val="000000"/>
                      </w:rPr>
                      <w:t>BiH</w:t>
                    </w:r>
                  </w:p>
                </w:txbxContent>
              </v:textbox>
            </v:rect>
            <v:rect id="_x0000_s1043" style="position:absolute;left:44;top:613;width:3141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Instruction 1; MF – Beneficiaries</w:t>
                    </w:r>
                  </w:p>
                </w:txbxContent>
              </v:textbox>
            </v:rect>
            <v:rect id="_x0000_s1044" style="position:absolute;left:5561;top:613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15.02</w:t>
                    </w:r>
                  </w:p>
                </w:txbxContent>
              </v:textbox>
            </v:rect>
            <v:rect id="_x0000_s1045" style="position:absolute;left:6729;top:613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15.02</w:t>
                    </w:r>
                  </w:p>
                </w:txbxContent>
              </v:textbox>
            </v:rect>
            <v:rect id="_x0000_s1046" style="position:absolute;left:7809;top:613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31.01</w:t>
                    </w:r>
                  </w:p>
                </w:txbxContent>
              </v:textbox>
            </v:rect>
            <v:rect id="_x0000_s1047" style="position:absolute;left:8991;top:613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31.01</w:t>
                    </w:r>
                  </w:p>
                </w:txbxContent>
              </v:textbox>
            </v:rect>
            <v:rect id="_x0000_s1048" style="position:absolute;left:44;top:905;width:2638;height:537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 xml:space="preserve">Beneficiaries’ proposals </w:t>
                    </w:r>
                  </w:p>
                </w:txbxContent>
              </v:textbox>
            </v:rect>
            <v:rect id="_x0000_s1049" style="position:absolute;left:5561;top:905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15.04</w:t>
                    </w:r>
                  </w:p>
                </w:txbxContent>
              </v:textbox>
            </v:rect>
            <v:rect id="_x0000_s1050" style="position:absolute;left:6729;top:905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30.04</w:t>
                    </w:r>
                  </w:p>
                </w:txbxContent>
              </v:textbox>
            </v:rect>
            <v:rect id="_x0000_s1051" style="position:absolute;left:7809;top:905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15.04</w:t>
                    </w:r>
                  </w:p>
                </w:txbxContent>
              </v:textbox>
            </v:rect>
            <v:rect id="_x0000_s1052" style="position:absolute;left:8991;top:905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15.04</w:t>
                    </w:r>
                  </w:p>
                </w:txbxContent>
              </v:textbox>
            </v:rect>
            <v:rect id="_x0000_s1053" style="position:absolute;left:44;top:1198;width:2433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 xml:space="preserve">MF preliminary BFP draft </w:t>
                    </w:r>
                  </w:p>
                </w:txbxContent>
              </v:textbox>
            </v:rect>
            <v:rect id="_x0000_s1054" style="position:absolute;left:8991;top:1198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28.04</w:t>
                    </w:r>
                  </w:p>
                </w:txbxContent>
              </v:textbox>
            </v:rect>
            <v:rect id="_x0000_s1055" style="position:absolute;left:44;top:1490;width:1772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MF – Government</w:t>
                    </w:r>
                  </w:p>
                </w:txbxContent>
              </v:textbox>
            </v:rect>
            <v:rect id="_x0000_s1056" style="position:absolute;left:5561;top:1490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15.06</w:t>
                    </w:r>
                  </w:p>
                </w:txbxContent>
              </v:textbox>
            </v:rect>
            <v:rect id="_x0000_s1057" style="position:absolute;left:7809;top:1490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15.06</w:t>
                    </w:r>
                  </w:p>
                </w:txbxContent>
              </v:textbox>
            </v:rect>
            <v:rect id="_x0000_s1058" style="position:absolute;left:8991;top:1490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15.06</w:t>
                    </w:r>
                  </w:p>
                </w:txbxContent>
              </v:textbox>
            </v:rect>
            <v:rect id="_x0000_s1059" style="position:absolute;left:44;top:1782;width:1300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BFP adoption</w:t>
                    </w:r>
                  </w:p>
                </w:txbxContent>
              </v:textbox>
            </v:rect>
            <v:rect id="_x0000_s1060" style="position:absolute;left:5561;top:1782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30.06</w:t>
                    </w:r>
                  </w:p>
                </w:txbxContent>
              </v:textbox>
            </v:rect>
            <v:rect id="_x0000_s1061" style="position:absolute;left:6729;top:1782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30.06</w:t>
                    </w:r>
                  </w:p>
                </w:txbxContent>
              </v:textbox>
            </v:rect>
            <v:rect id="_x0000_s1062" style="position:absolute;left:7809;top:1782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30.06</w:t>
                    </w:r>
                  </w:p>
                </w:txbxContent>
              </v:textbox>
            </v:rect>
            <v:rect id="_x0000_s1063" style="position:absolute;left:8991;top:1782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30.06</w:t>
                    </w:r>
                  </w:p>
                </w:txbxContent>
              </v:textbox>
            </v:rect>
            <v:rect id="_x0000_s1064" style="position:absolute;left:44;top:2074;width:3771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MF – BFP – municipalities, cities, funds</w:t>
                    </w:r>
                  </w:p>
                </w:txbxContent>
              </v:textbox>
            </v:rect>
            <v:rect id="_x0000_s1065" style="position:absolute;left:6729;top:2074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01.07</w:t>
                    </w:r>
                  </w:p>
                </w:txbxContent>
              </v:textbox>
            </v:rect>
            <v:rect id="_x0000_s1066" style="position:absolute;left:44;top:2366;width:3391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 xml:space="preserve">Publication of BFP on MF’s website </w:t>
                    </w:r>
                  </w:p>
                </w:txbxContent>
              </v:textbox>
            </v:rect>
            <v:rect id="_x0000_s1067" style="position:absolute;left:5561;top:2366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15.07</w:t>
                    </w:r>
                  </w:p>
                </w:txbxContent>
              </v:textbox>
            </v:rect>
            <v:rect id="_x0000_s1068" style="position:absolute;left:7809;top:2366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15.07</w:t>
                    </w:r>
                  </w:p>
                </w:txbxContent>
              </v:textbox>
            </v:rect>
            <v:rect id="_x0000_s1069" style="position:absolute;left:8991;top:2366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15.07</w:t>
                    </w:r>
                  </w:p>
                </w:txbxContent>
              </v:textbox>
            </v:rect>
            <v:rect id="_x0000_s1070" style="position:absolute;left:44;top:2658;width:4507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Submission of BFP to parliament (information)</w:t>
                    </w:r>
                  </w:p>
                </w:txbxContent>
              </v:textbox>
            </v:rect>
            <v:rect id="_x0000_s1071" style="position:absolute;left:6729;top:2658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15.07</w:t>
                    </w:r>
                  </w:p>
                </w:txbxContent>
              </v:textbox>
            </v:rect>
            <v:rect id="_x0000_s1072" style="position:absolute;left:44;top:2950;width:3279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 xml:space="preserve">Instruction 2 – Budget constraints </w:t>
                    </w:r>
                  </w:p>
                </w:txbxContent>
              </v:textbox>
            </v:rect>
            <v:rect id="_x0000_s1073" style="position:absolute;left:5561;top:2950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15.07</w:t>
                    </w:r>
                  </w:p>
                </w:txbxContent>
              </v:textbox>
            </v:rect>
            <v:rect id="_x0000_s1074" style="position:absolute;left:6729;top:2950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01.07</w:t>
                    </w:r>
                  </w:p>
                </w:txbxContent>
              </v:textbox>
            </v:rect>
            <v:rect id="_x0000_s1075" style="position:absolute;left:7809;top:2950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01.07</w:t>
                    </w:r>
                  </w:p>
                </w:txbxContent>
              </v:textbox>
            </v:rect>
            <v:rect id="_x0000_s1076" style="position:absolute;left:8991;top:2950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01.07</w:t>
                    </w:r>
                  </w:p>
                </w:txbxContent>
              </v:textbox>
            </v:rect>
            <v:rect id="_x0000_s1077" style="position:absolute;left:44;top:3242;width:2939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Beneficiaries’ budget requests</w:t>
                    </w:r>
                  </w:p>
                </w:txbxContent>
              </v:textbox>
            </v:rect>
            <v:rect id="_x0000_s1078" style="position:absolute;left:5561;top:3242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15.08</w:t>
                    </w:r>
                  </w:p>
                </w:txbxContent>
              </v:textbox>
            </v:rect>
            <v:rect id="_x0000_s1079" style="position:absolute;left:6729;top:3242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01.09</w:t>
                    </w:r>
                  </w:p>
                </w:txbxContent>
              </v:textbox>
            </v:rect>
            <v:rect id="_x0000_s1080" style="position:absolute;left:7809;top:3242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01.08</w:t>
                    </w:r>
                  </w:p>
                </w:txbxContent>
              </v:textbox>
            </v:rect>
            <v:rect id="_x0000_s1081" style="position:absolute;left:8991;top:3242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01.08</w:t>
                    </w:r>
                  </w:p>
                </w:txbxContent>
              </v:textbox>
            </v:rect>
            <v:rect id="_x0000_s1082" style="position:absolute;left:44;top:3534;width:3321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Consultation MF and beneficiaries</w:t>
                    </w:r>
                  </w:p>
                </w:txbxContent>
              </v:textbox>
            </v:rect>
            <v:rect id="_x0000_s1083" style="position:absolute;left:5561;top:3534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15.09</w:t>
                    </w:r>
                  </w:p>
                </w:txbxContent>
              </v:textbox>
            </v:rect>
            <v:rect id="_x0000_s1084" style="position:absolute;left:8991;top:3534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01.10</w:t>
                    </w:r>
                  </w:p>
                </w:txbxContent>
              </v:textbox>
            </v:rect>
            <v:rect id="_x0000_s1085" style="position:absolute;left:44;top:3826;width:3040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MF – Government draft budget</w:t>
                    </w:r>
                  </w:p>
                </w:txbxContent>
              </v:textbox>
            </v:rect>
            <v:rect id="_x0000_s1086" style="position:absolute;left:5561;top:3826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15.10</w:t>
                    </w:r>
                  </w:p>
                </w:txbxContent>
              </v:textbox>
            </v:rect>
            <v:rect id="_x0000_s1087" style="position:absolute;left:6729;top:3826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15.10</w:t>
                    </w:r>
                  </w:p>
                </w:txbxContent>
              </v:textbox>
            </v:rect>
            <v:rect id="_x0000_s1088" style="position:absolute;left:7809;top:3826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15.09</w:t>
                    </w:r>
                  </w:p>
                </w:txbxContent>
              </v:textbox>
            </v:rect>
            <v:rect id="_x0000_s1089" style="position:absolute;left:8991;top:3826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01.10</w:t>
                    </w:r>
                  </w:p>
                </w:txbxContent>
              </v:textbox>
            </v:rect>
            <v:rect id="_x0000_s1090" style="position:absolute;left:44;top:4118;width:3011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CoM – Presidency draft budget</w:t>
                    </w:r>
                  </w:p>
                </w:txbxContent>
              </v:textbox>
            </v:rect>
            <v:rect id="_x0000_s1091" style="position:absolute;left:8991;top:4118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15.10</w:t>
                    </w:r>
                  </w:p>
                </w:txbxContent>
              </v:textbox>
            </v:rect>
            <v:rect id="_x0000_s1092" style="position:absolute;left:44;top:4410;width:3662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Government determines draft budget</w:t>
                    </w:r>
                  </w:p>
                </w:txbxContent>
              </v:textbox>
            </v:rect>
            <v:rect id="_x0000_s1093" style="position:absolute;left:5561;top:4410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01.11</w:t>
                    </w:r>
                  </w:p>
                </w:txbxContent>
              </v:textbox>
            </v:rect>
            <v:rect id="_x0000_s1094" style="position:absolute;left:6729;top:4410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05.11</w:t>
                    </w:r>
                  </w:p>
                </w:txbxContent>
              </v:textbox>
            </v:rect>
            <v:rect id="_x0000_s1095" style="position:absolute;left:7809;top:4410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01.10</w:t>
                    </w:r>
                  </w:p>
                </w:txbxContent>
              </v:textbox>
            </v:rect>
            <v:rect id="_x0000_s1096" style="position:absolute;left:44;top:4702;width:3433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PM/Presidency/Mayor– Parliament</w:t>
                    </w:r>
                  </w:p>
                </w:txbxContent>
              </v:textbox>
            </v:rect>
            <v:rect id="_x0000_s1097" style="position:absolute;left:5561;top:4702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05.11</w:t>
                    </w:r>
                  </w:p>
                </w:txbxContent>
              </v:textbox>
            </v:rect>
            <v:rect id="_x0000_s1098" style="position:absolute;left:6729;top:4702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15.11</w:t>
                    </w:r>
                  </w:p>
                </w:txbxContent>
              </v:textbox>
            </v:rect>
            <v:rect id="_x0000_s1099" style="position:absolute;left:7809;top:4702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01.10</w:t>
                    </w:r>
                  </w:p>
                </w:txbxContent>
              </v:textbox>
            </v:rect>
            <v:rect id="_x0000_s1100" style="position:absolute;left:8991;top:4702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01.11</w:t>
                    </w:r>
                  </w:p>
                </w:txbxContent>
              </v:textbox>
            </v:rect>
            <v:rect id="_x0000_s1101" style="position:absolute;left:44;top:4995;width:2107;height:537;mso-wrap-style:none" filled="f" stroked="f">
              <v:textbox style="mso-fit-shape-to-text:t" inset="0,0,0,0">
                <w:txbxContent>
                  <w:p w:rsidR="00B829AF" w:rsidRPr="00EE6D1E" w:rsidRDefault="00B829AF">
                    <w:pPr>
                      <w:rPr>
                        <w:lang w:val="sr-Latn-CS"/>
                      </w:rPr>
                    </w:pPr>
                    <w:r>
                      <w:rPr>
                        <w:rFonts w:cs="Calibri"/>
                        <w:color w:val="000000"/>
                        <w:lang w:val="sr-Latn-CS"/>
                      </w:rPr>
                      <w:t>Final budget proposal</w:t>
                    </w:r>
                  </w:p>
                </w:txbxContent>
              </v:textbox>
            </v:rect>
            <v:rect id="_x0000_s1102" style="position:absolute;left:6729;top:4995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01.12</w:t>
                    </w:r>
                  </w:p>
                </w:txbxContent>
              </v:textbox>
            </v:rect>
            <v:rect id="_x0000_s1103" style="position:absolute;left:44;top:5287;width:1582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Adopted budget</w:t>
                    </w:r>
                  </w:p>
                </w:txbxContent>
              </v:textbox>
            </v:rect>
            <v:rect id="_x0000_s1104" style="position:absolute;left:5561;top:5287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31.12</w:t>
                    </w:r>
                  </w:p>
                </w:txbxContent>
              </v:textbox>
            </v:rect>
            <v:rect id="_x0000_s1105" style="position:absolute;left:6729;top:5287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15.12</w:t>
                    </w:r>
                  </w:p>
                </w:txbxContent>
              </v:textbox>
            </v:rect>
            <v:rect id="_x0000_s1106" style="position:absolute;left:7809;top:5287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01.12</w:t>
                    </w:r>
                  </w:p>
                </w:txbxContent>
              </v:textbox>
            </v:rect>
            <v:rect id="_x0000_s1107" style="position:absolute;left:8991;top:5287;width:548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</w:rPr>
                      <w:t>31.12</w:t>
                    </w:r>
                  </w:p>
                </w:txbxContent>
              </v:textbox>
            </v:rect>
            <v:rect id="_x0000_s1108" style="position:absolute;left:3897;top:29;width:1619;height:537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b/>
                        <w:bCs/>
                        <w:color w:val="000000"/>
                      </w:rPr>
                      <w:t>Budget calendar</w:t>
                    </w:r>
                  </w:p>
                </w:txbxContent>
              </v:textbox>
            </v:rect>
            <v:line id="_x0000_s1109" style="position:absolute" from="0,0" to="1,5564" strokeweight="0"/>
            <v:rect id="_x0000_s1110" style="position:absolute;width:15;height:5564" fillcolor="black" stroked="f"/>
            <v:line id="_x0000_s1111" style="position:absolute" from="9487,15" to="9488,5564" strokeweight="0"/>
            <v:rect id="_x0000_s1112" style="position:absolute;left:9487;top:15;width:15;height:5549" fillcolor="black" stroked="f"/>
            <v:line id="_x0000_s1113" style="position:absolute" from="4817,307" to="4818,5564" strokeweight="0"/>
            <v:rect id="_x0000_s1114" style="position:absolute;left:4817;top:307;width:14;height:5257" fillcolor="black" stroked="f"/>
            <v:line id="_x0000_s1115" style="position:absolute" from="6057,307" to="6058,5564" strokeweight="0"/>
            <v:rect id="_x0000_s1116" style="position:absolute;left:6057;top:307;width:15;height:5257" fillcolor="black" stroked="f"/>
            <v:line id="_x0000_s1117" style="position:absolute" from="7225,307" to="7226,5564" strokeweight="0"/>
            <v:rect id="_x0000_s1118" style="position:absolute;left:7225;top:307;width:15;height:5257" fillcolor="black" stroked="f"/>
            <v:line id="_x0000_s1119" style="position:absolute" from="8305,307" to="8306,5564" strokeweight="0"/>
            <v:rect id="_x0000_s1120" style="position:absolute;left:8305;top:307;width:15;height:5257" fillcolor="black" stroked="f"/>
            <v:line id="_x0000_s1121" style="position:absolute" from="15,0" to="9502,1" strokeweight="0"/>
            <v:rect id="_x0000_s1122" style="position:absolute;left:15;width:9487;height:15" fillcolor="black" stroked="f"/>
            <v:line id="_x0000_s1123" style="position:absolute" from="15,292" to="9502,293" strokeweight="0"/>
            <v:rect id="_x0000_s1124" style="position:absolute;left:15;top:292;width:9487;height:15" fillcolor="black" stroked="f"/>
            <v:line id="_x0000_s1125" style="position:absolute" from="15,584" to="9502,585" strokeweight="0"/>
            <v:rect id="_x0000_s1126" style="position:absolute;left:15;top:584;width:9487;height:15" fillcolor="black" stroked="f"/>
            <v:line id="_x0000_s1127" style="position:absolute" from="15,876" to="9502,877" strokeweight="0"/>
            <v:rect id="_x0000_s1128" style="position:absolute;left:15;top:876;width:9487;height:15" fillcolor="black" stroked="f"/>
            <v:line id="_x0000_s1129" style="position:absolute" from="15,1168" to="9502,1169" strokeweight="0"/>
            <v:rect id="_x0000_s1130" style="position:absolute;left:15;top:1168;width:9487;height:15" fillcolor="black" stroked="f"/>
            <v:line id="_x0000_s1131" style="position:absolute" from="15,1460" to="9502,1461" strokeweight="0"/>
            <v:rect id="_x0000_s1132" style="position:absolute;left:15;top:1460;width:9487;height:15" fillcolor="black" stroked="f"/>
            <v:line id="_x0000_s1133" style="position:absolute" from="15,1752" to="9502,1753" strokeweight="0"/>
            <v:rect id="_x0000_s1134" style="position:absolute;left:15;top:1752;width:9487;height:15" fillcolor="black" stroked="f"/>
            <v:line id="_x0000_s1135" style="position:absolute" from="15,2045" to="9502,2046" strokeweight="0"/>
            <v:rect id="_x0000_s1136" style="position:absolute;left:15;top:2045;width:9487;height:14" fillcolor="black" stroked="f"/>
            <v:line id="_x0000_s1137" style="position:absolute" from="15,2337" to="9502,2338" strokeweight="0"/>
            <v:rect id="_x0000_s1138" style="position:absolute;left:15;top:2337;width:9487;height:14" fillcolor="black" stroked="f"/>
            <v:line id="_x0000_s1139" style="position:absolute" from="15,2629" to="9502,2630" strokeweight="0"/>
            <v:rect id="_x0000_s1140" style="position:absolute;left:15;top:2629;width:9487;height:14" fillcolor="black" stroked="f"/>
            <v:line id="_x0000_s1141" style="position:absolute" from="15,2921" to="9502,2922" strokeweight="0"/>
            <v:rect id="_x0000_s1142" style="position:absolute;left:15;top:2921;width:9487;height:14" fillcolor="black" stroked="f"/>
            <v:line id="_x0000_s1143" style="position:absolute" from="15,3213" to="9502,3214" strokeweight="0"/>
            <v:rect id="_x0000_s1144" style="position:absolute;left:15;top:3213;width:9487;height:14" fillcolor="black" stroked="f"/>
            <v:line id="_x0000_s1145" style="position:absolute" from="15,3505" to="9502,3506" strokeweight="0"/>
            <v:rect id="_x0000_s1146" style="position:absolute;left:15;top:3505;width:9487;height:15" fillcolor="black" stroked="f"/>
            <v:line id="_x0000_s1147" style="position:absolute" from="15,3797" to="9502,3798" strokeweight="0"/>
            <v:rect id="_x0000_s1148" style="position:absolute;left:15;top:3797;width:9487;height:15" fillcolor="black" stroked="f"/>
            <v:line id="_x0000_s1149" style="position:absolute" from="15,4089" to="9502,4090" strokeweight="0"/>
            <v:rect id="_x0000_s1150" style="position:absolute;left:15;top:4089;width:9487;height:15" fillcolor="black" stroked="f"/>
            <v:line id="_x0000_s1151" style="position:absolute" from="15,4381" to="9502,4382" strokeweight="0"/>
            <v:rect id="_x0000_s1152" style="position:absolute;left:15;top:4381;width:9487;height:15" fillcolor="black" stroked="f"/>
            <v:line id="_x0000_s1153" style="position:absolute" from="15,4673" to="9502,4674" strokeweight="0"/>
            <v:rect id="_x0000_s1154" style="position:absolute;left:15;top:4673;width:9487;height:15" fillcolor="black" stroked="f"/>
            <v:line id="_x0000_s1155" style="position:absolute" from="15,4965" to="9502,4966" strokeweight="0"/>
            <v:rect id="_x0000_s1156" style="position:absolute;left:15;top:4965;width:9487;height:15" fillcolor="black" stroked="f"/>
            <v:line id="_x0000_s1157" style="position:absolute" from="15,5257" to="9502,5258" strokeweight="0"/>
            <v:rect id="_x0000_s1158" style="position:absolute;left:15;top:5257;width:9487;height:15" fillcolor="black" stroked="f"/>
            <v:line id="_x0000_s1159" style="position:absolute" from="15,5550" to="9502,5551" strokeweight="0"/>
            <v:rect id="_x0000_s1160" style="position:absolute;left:15;top:5550;width:9487;height:14" fillcolor="black" stroked="f"/>
            <w10:anchorlock/>
          </v:group>
        </w:pict>
      </w:r>
    </w:p>
    <w:p w:rsidR="00A97C31" w:rsidRPr="003A78F3" w:rsidRDefault="00622566" w:rsidP="00403657">
      <w:pPr>
        <w:spacing w:line="240" w:lineRule="auto"/>
        <w:jc w:val="center"/>
        <w:rPr>
          <w:rFonts w:cs="Calibri"/>
          <w:i/>
          <w:iCs/>
          <w:lang w:val="en-GB"/>
        </w:rPr>
      </w:pPr>
      <w:r w:rsidRPr="003A78F3">
        <w:rPr>
          <w:rFonts w:cs="Calibri"/>
          <w:i/>
          <w:iCs/>
          <w:lang w:val="en-GB"/>
        </w:rPr>
        <w:t xml:space="preserve">Source: </w:t>
      </w:r>
      <w:r w:rsidR="00D06646" w:rsidRPr="003A78F3">
        <w:rPr>
          <w:rFonts w:cs="Calibri"/>
          <w:i/>
          <w:iCs/>
          <w:lang w:val="en-GB"/>
        </w:rPr>
        <w:t xml:space="preserve">Law on Financing the Institutions of BiH, Law on Budgets in FBiH, Law on the Budget System </w:t>
      </w:r>
      <w:r w:rsidR="007A001B" w:rsidRPr="003A78F3">
        <w:rPr>
          <w:rFonts w:cs="Calibri"/>
          <w:i/>
          <w:iCs/>
          <w:lang w:val="en-GB"/>
        </w:rPr>
        <w:t>of</w:t>
      </w:r>
      <w:r w:rsidR="00D06646" w:rsidRPr="003A78F3">
        <w:rPr>
          <w:rFonts w:cs="Calibri"/>
          <w:i/>
          <w:iCs/>
          <w:lang w:val="en-GB"/>
        </w:rPr>
        <w:t xml:space="preserve"> RS and Budget Law of BD</w:t>
      </w:r>
    </w:p>
    <w:p w:rsidR="00403657" w:rsidRPr="003A78F3" w:rsidRDefault="00403657" w:rsidP="00403657">
      <w:pPr>
        <w:pStyle w:val="Heading3"/>
        <w:rPr>
          <w:rFonts w:ascii="Calibri" w:hAnsi="Calibri" w:cs="Calibri"/>
          <w:lang w:val="en-GB"/>
        </w:rPr>
      </w:pPr>
      <w:bookmarkStart w:id="7" w:name="_Toc445049553"/>
    </w:p>
    <w:p w:rsidR="00A97C31" w:rsidRPr="003A78F3" w:rsidRDefault="00622566" w:rsidP="00403657">
      <w:pPr>
        <w:pStyle w:val="Heading3"/>
        <w:rPr>
          <w:rFonts w:ascii="Calibri" w:hAnsi="Calibri" w:cs="Calibri"/>
          <w:lang w:val="en-GB"/>
        </w:rPr>
      </w:pPr>
      <w:bookmarkStart w:id="8" w:name="_Toc473971986"/>
      <w:r w:rsidRPr="003A78F3">
        <w:rPr>
          <w:rFonts w:ascii="Calibri" w:hAnsi="Calibri" w:cs="Calibri"/>
          <w:lang w:val="en-GB"/>
        </w:rPr>
        <w:t>1.1 Transparent expenditure of public funds</w:t>
      </w:r>
      <w:bookmarkEnd w:id="7"/>
      <w:bookmarkEnd w:id="8"/>
    </w:p>
    <w:p w:rsidR="00A97C31" w:rsidRPr="003A78F3" w:rsidRDefault="00A97C31" w:rsidP="00403657">
      <w:pPr>
        <w:spacing w:after="0" w:line="240" w:lineRule="auto"/>
        <w:jc w:val="both"/>
        <w:rPr>
          <w:rFonts w:cs="Calibri"/>
          <w:lang w:val="en-GB"/>
        </w:rPr>
      </w:pPr>
    </w:p>
    <w:p w:rsidR="00824D03" w:rsidRPr="003A78F3" w:rsidRDefault="00A012B9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Increased</w:t>
      </w:r>
      <w:r w:rsidR="00622566" w:rsidRPr="003A78F3">
        <w:rPr>
          <w:rFonts w:cs="Calibri"/>
          <w:lang w:val="en-GB"/>
        </w:rPr>
        <w:t xml:space="preserve"> transparency </w:t>
      </w:r>
      <w:r w:rsidRPr="003A78F3">
        <w:rPr>
          <w:rFonts w:cs="Calibri"/>
          <w:lang w:val="en-GB"/>
        </w:rPr>
        <w:t>in the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 xml:space="preserve">expenditure of </w:t>
      </w:r>
      <w:r w:rsidR="00622566" w:rsidRPr="003A78F3">
        <w:rPr>
          <w:rFonts w:cs="Calibri"/>
          <w:lang w:val="en-GB"/>
        </w:rPr>
        <w:t xml:space="preserve">public funds </w:t>
      </w:r>
      <w:r w:rsidRPr="003A78F3">
        <w:rPr>
          <w:rFonts w:cs="Calibri"/>
          <w:lang w:val="en-GB"/>
        </w:rPr>
        <w:t>is achieved by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 xml:space="preserve">ensuring that </w:t>
      </w:r>
      <w:r w:rsidR="00622566" w:rsidRPr="003A78F3">
        <w:rPr>
          <w:rFonts w:cs="Calibri"/>
          <w:lang w:val="en-GB"/>
        </w:rPr>
        <w:t>budget</w:t>
      </w:r>
      <w:r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 xml:space="preserve">are </w:t>
      </w:r>
      <w:r w:rsidR="00622566" w:rsidRPr="003A78F3">
        <w:rPr>
          <w:rFonts w:cs="Calibri"/>
          <w:lang w:val="en-GB"/>
        </w:rPr>
        <w:t>plann</w:t>
      </w:r>
      <w:r w:rsidRPr="003A78F3">
        <w:rPr>
          <w:rFonts w:cs="Calibri"/>
          <w:lang w:val="en-GB"/>
        </w:rPr>
        <w:t>ed</w:t>
      </w:r>
      <w:r w:rsidR="00622566" w:rsidRPr="003A78F3">
        <w:rPr>
          <w:rFonts w:cs="Calibri"/>
          <w:lang w:val="en-GB"/>
        </w:rPr>
        <w:t xml:space="preserve"> and </w:t>
      </w:r>
      <w:r w:rsidRPr="003A78F3">
        <w:rPr>
          <w:rFonts w:cs="Calibri"/>
          <w:lang w:val="en-GB"/>
        </w:rPr>
        <w:t>budget execution is monitored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 xml:space="preserve">in accordance with </w:t>
      </w:r>
      <w:r w:rsidR="00622566" w:rsidRPr="003A78F3">
        <w:rPr>
          <w:rFonts w:cs="Calibri"/>
          <w:lang w:val="en-GB"/>
        </w:rPr>
        <w:t>program</w:t>
      </w:r>
      <w:r w:rsidRPr="003A78F3">
        <w:rPr>
          <w:rFonts w:cs="Calibri"/>
          <w:lang w:val="en-GB"/>
        </w:rPr>
        <w:t>me</w:t>
      </w:r>
      <w:r w:rsidR="00622566" w:rsidRPr="003A78F3">
        <w:rPr>
          <w:rFonts w:cs="Calibri"/>
          <w:lang w:val="en-GB"/>
        </w:rPr>
        <w:t>s and</w:t>
      </w:r>
      <w:r w:rsidRPr="003A78F3">
        <w:rPr>
          <w:rFonts w:cs="Calibri"/>
          <w:lang w:val="en-GB"/>
        </w:rPr>
        <w:t xml:space="preserve"> monitoring </w:t>
      </w:r>
      <w:r w:rsidR="00622566" w:rsidRPr="003A78F3">
        <w:rPr>
          <w:rFonts w:cs="Calibri"/>
          <w:lang w:val="en-GB"/>
        </w:rPr>
        <w:t>indicators. For the introduction of program</w:t>
      </w:r>
      <w:r w:rsidRPr="003A78F3">
        <w:rPr>
          <w:rFonts w:cs="Calibri"/>
          <w:lang w:val="en-GB"/>
        </w:rPr>
        <w:t>me-based</w:t>
      </w:r>
      <w:r w:rsidR="00622566" w:rsidRPr="003A78F3">
        <w:rPr>
          <w:rFonts w:cs="Calibri"/>
          <w:lang w:val="en-GB"/>
        </w:rPr>
        <w:t xml:space="preserve"> budgeting in BiH, it was </w:t>
      </w:r>
      <w:r w:rsidR="007A001B" w:rsidRPr="003A78F3">
        <w:rPr>
          <w:rFonts w:cs="Calibri"/>
          <w:lang w:val="en-GB"/>
        </w:rPr>
        <w:t xml:space="preserve">first </w:t>
      </w:r>
      <w:r w:rsidR="00622566" w:rsidRPr="003A78F3">
        <w:rPr>
          <w:rFonts w:cs="Calibri"/>
          <w:lang w:val="en-GB"/>
        </w:rPr>
        <w:t xml:space="preserve">necessary to create legal conditions and then </w:t>
      </w:r>
      <w:r w:rsidR="007A001B" w:rsidRPr="003A78F3">
        <w:rPr>
          <w:rFonts w:cs="Calibri"/>
          <w:lang w:val="en-GB"/>
        </w:rPr>
        <w:t>work</w:t>
      </w:r>
      <w:r w:rsidR="00622566" w:rsidRPr="003A78F3">
        <w:rPr>
          <w:rFonts w:cs="Calibri"/>
          <w:lang w:val="en-GB"/>
        </w:rPr>
        <w:t xml:space="preserve"> </w:t>
      </w:r>
      <w:r w:rsidR="007A001B" w:rsidRPr="003A78F3">
        <w:rPr>
          <w:rFonts w:cs="Calibri"/>
          <w:lang w:val="en-GB"/>
        </w:rPr>
        <w:t>towards concrete implementation</w:t>
      </w:r>
      <w:r w:rsidR="00622566" w:rsidRPr="003A78F3">
        <w:rPr>
          <w:rFonts w:cs="Calibri"/>
          <w:lang w:val="en-GB"/>
        </w:rPr>
        <w:t xml:space="preserve"> of this objective. </w:t>
      </w:r>
      <w:r w:rsidR="007A001B"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Law on </w:t>
      </w:r>
      <w:r w:rsidR="007A001B"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>Budget System of RS</w:t>
      </w:r>
      <w:r w:rsidR="007A001B" w:rsidRPr="003A78F3">
        <w:rPr>
          <w:rFonts w:cs="Calibri"/>
          <w:lang w:val="en-GB"/>
        </w:rPr>
        <w:t xml:space="preserve">, </w:t>
      </w:r>
      <w:r w:rsidR="008272F3" w:rsidRPr="003A78F3">
        <w:rPr>
          <w:rFonts w:cs="Calibri"/>
          <w:lang w:val="en-GB"/>
        </w:rPr>
        <w:t xml:space="preserve">which was </w:t>
      </w:r>
      <w:r w:rsidR="007A001B" w:rsidRPr="003A78F3">
        <w:rPr>
          <w:rFonts w:cs="Calibri"/>
          <w:lang w:val="en-GB"/>
        </w:rPr>
        <w:t>passed in</w:t>
      </w:r>
      <w:r w:rsidR="00622566" w:rsidRPr="003A78F3">
        <w:rPr>
          <w:rFonts w:cs="Calibri"/>
          <w:lang w:val="en-GB"/>
        </w:rPr>
        <w:t xml:space="preserve"> 2012, </w:t>
      </w:r>
      <w:r w:rsidR="007A001B" w:rsidRPr="003A78F3">
        <w:rPr>
          <w:rFonts w:cs="Calibri"/>
          <w:lang w:val="en-GB"/>
        </w:rPr>
        <w:t>created</w:t>
      </w:r>
      <w:r w:rsidR="003B454C">
        <w:rPr>
          <w:rFonts w:cs="Calibri"/>
          <w:lang w:val="en-GB"/>
        </w:rPr>
        <w:t xml:space="preserve"> legal pre</w:t>
      </w:r>
      <w:r w:rsidR="007A001B" w:rsidRPr="003A78F3">
        <w:rPr>
          <w:rFonts w:cs="Calibri"/>
          <w:lang w:val="en-GB"/>
        </w:rPr>
        <w:t xml:space="preserve">conditions </w:t>
      </w:r>
      <w:r w:rsidR="00622566" w:rsidRPr="003A78F3">
        <w:rPr>
          <w:rFonts w:cs="Calibri"/>
          <w:lang w:val="en-GB"/>
        </w:rPr>
        <w:t>for the introduction of program</w:t>
      </w:r>
      <w:r w:rsidR="007A001B" w:rsidRPr="003A78F3">
        <w:rPr>
          <w:rFonts w:cs="Calibri"/>
          <w:lang w:val="en-GB"/>
        </w:rPr>
        <w:t>me-based</w:t>
      </w:r>
      <w:r w:rsidR="00622566" w:rsidRPr="003A78F3">
        <w:rPr>
          <w:rFonts w:cs="Calibri"/>
          <w:lang w:val="en-GB"/>
        </w:rPr>
        <w:t xml:space="preserve"> budgeting, considering that </w:t>
      </w:r>
      <w:r w:rsidR="008272F3" w:rsidRPr="003A78F3">
        <w:rPr>
          <w:rFonts w:cs="Calibri"/>
          <w:lang w:val="en-GB"/>
        </w:rPr>
        <w:t xml:space="preserve">its </w:t>
      </w:r>
      <w:r w:rsidR="00622566" w:rsidRPr="003A78F3">
        <w:rPr>
          <w:rFonts w:cs="Calibri"/>
          <w:lang w:val="en-GB"/>
        </w:rPr>
        <w:t xml:space="preserve">Article 15 stipulates that the budget </w:t>
      </w:r>
      <w:r w:rsidR="008272F3" w:rsidRPr="003A78F3">
        <w:rPr>
          <w:rFonts w:cs="Calibri"/>
          <w:lang w:val="en-GB"/>
        </w:rPr>
        <w:t>shall be</w:t>
      </w:r>
      <w:r w:rsidR="00622566" w:rsidRPr="003A78F3">
        <w:rPr>
          <w:rFonts w:cs="Calibri"/>
          <w:lang w:val="en-GB"/>
        </w:rPr>
        <w:t xml:space="preserve"> prepared, adopted and </w:t>
      </w:r>
      <w:r w:rsidR="008272F3" w:rsidRPr="003A78F3">
        <w:rPr>
          <w:rFonts w:cs="Calibri"/>
          <w:lang w:val="en-GB"/>
        </w:rPr>
        <w:t>executed</w:t>
      </w:r>
      <w:r w:rsidR="00622566" w:rsidRPr="003A78F3">
        <w:rPr>
          <w:rFonts w:cs="Calibri"/>
          <w:lang w:val="en-GB"/>
        </w:rPr>
        <w:t xml:space="preserve"> on the basis of standard budget classification: fund</w:t>
      </w:r>
      <w:r w:rsidR="008272F3" w:rsidRPr="003A78F3">
        <w:rPr>
          <w:rFonts w:cs="Calibri"/>
          <w:lang w:val="en-GB"/>
        </w:rPr>
        <w:t xml:space="preserve"> based</w:t>
      </w:r>
      <w:r w:rsidR="00622566" w:rsidRPr="003A78F3">
        <w:rPr>
          <w:rFonts w:cs="Calibri"/>
          <w:lang w:val="en-GB"/>
        </w:rPr>
        <w:t xml:space="preserve">, </w:t>
      </w:r>
      <w:r w:rsidR="008272F3" w:rsidRPr="003A78F3">
        <w:rPr>
          <w:rFonts w:cs="Calibri"/>
          <w:lang w:val="en-GB"/>
        </w:rPr>
        <w:t>organisational, economic,</w:t>
      </w:r>
      <w:r w:rsidR="00622566" w:rsidRPr="003A78F3">
        <w:rPr>
          <w:rFonts w:cs="Calibri"/>
          <w:lang w:val="en-GB"/>
        </w:rPr>
        <w:t xml:space="preserve"> sub-economic, functional and program</w:t>
      </w:r>
      <w:r w:rsidR="008272F3" w:rsidRPr="003A78F3">
        <w:rPr>
          <w:rFonts w:cs="Calibri"/>
          <w:lang w:val="en-GB"/>
        </w:rPr>
        <w:t>me classification</w:t>
      </w:r>
      <w:r w:rsidR="00622566" w:rsidRPr="003A78F3">
        <w:rPr>
          <w:rFonts w:cs="Calibri"/>
          <w:lang w:val="en-GB"/>
        </w:rPr>
        <w:t xml:space="preserve">.  </w:t>
      </w:r>
    </w:p>
    <w:p w:rsidR="00824D03" w:rsidRPr="003A78F3" w:rsidRDefault="008272F3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Articles 13 and 14 of the Law on B</w:t>
      </w:r>
      <w:r w:rsidR="00622566" w:rsidRPr="003A78F3">
        <w:rPr>
          <w:rFonts w:cs="Calibri"/>
          <w:lang w:val="en-GB"/>
        </w:rPr>
        <w:t xml:space="preserve">udgets </w:t>
      </w:r>
      <w:r w:rsidRPr="003A78F3">
        <w:rPr>
          <w:rFonts w:cs="Calibri"/>
          <w:lang w:val="en-GB"/>
        </w:rPr>
        <w:t xml:space="preserve">in FBiH, </w:t>
      </w:r>
      <w:r w:rsidR="00622566" w:rsidRPr="003A78F3">
        <w:rPr>
          <w:rFonts w:cs="Calibri"/>
          <w:lang w:val="en-GB"/>
        </w:rPr>
        <w:t xml:space="preserve">which was </w:t>
      </w:r>
      <w:r w:rsidRPr="003A78F3">
        <w:rPr>
          <w:rFonts w:cs="Calibri"/>
          <w:lang w:val="en-GB"/>
        </w:rPr>
        <w:t>passed</w:t>
      </w:r>
      <w:r w:rsidR="00622566" w:rsidRPr="003A78F3">
        <w:rPr>
          <w:rFonts w:cs="Calibri"/>
          <w:lang w:val="en-GB"/>
        </w:rPr>
        <w:t xml:space="preserve"> in 2014,</w:t>
      </w:r>
      <w:r w:rsidRPr="003A78F3">
        <w:rPr>
          <w:rFonts w:cs="Calibri"/>
          <w:lang w:val="en-GB"/>
        </w:rPr>
        <w:t xml:space="preserve"> provide</w:t>
      </w:r>
      <w:r w:rsidR="00622566" w:rsidRPr="003A78F3">
        <w:rPr>
          <w:rFonts w:cs="Calibri"/>
          <w:lang w:val="en-GB"/>
        </w:rPr>
        <w:t xml:space="preserve"> that the financial plans of budget and extra-budgetary </w:t>
      </w:r>
      <w:r w:rsidR="00635FAF" w:rsidRPr="003A78F3">
        <w:rPr>
          <w:rFonts w:cs="Calibri"/>
          <w:lang w:val="en-GB"/>
        </w:rPr>
        <w:t>beneficiaries shall contain</w:t>
      </w:r>
      <w:r w:rsidR="00622566" w:rsidRPr="003A78F3">
        <w:rPr>
          <w:rFonts w:cs="Calibri"/>
          <w:lang w:val="en-GB"/>
        </w:rPr>
        <w:t xml:space="preserve"> program</w:t>
      </w:r>
      <w:r w:rsidR="00635FAF" w:rsidRPr="003A78F3">
        <w:rPr>
          <w:rFonts w:cs="Calibri"/>
          <w:lang w:val="en-GB"/>
        </w:rPr>
        <w:t>me</w:t>
      </w:r>
      <w:r w:rsidR="00622566" w:rsidRPr="003A78F3">
        <w:rPr>
          <w:rFonts w:cs="Calibri"/>
          <w:lang w:val="en-GB"/>
        </w:rPr>
        <w:t xml:space="preserve">s </w:t>
      </w:r>
      <w:r w:rsidR="00635FAF" w:rsidRPr="003A78F3">
        <w:rPr>
          <w:rFonts w:cs="Calibri"/>
          <w:lang w:val="en-GB"/>
        </w:rPr>
        <w:t>specified in planning documents</w:t>
      </w:r>
      <w:r w:rsidR="00622566" w:rsidRPr="003A78F3">
        <w:rPr>
          <w:rFonts w:cs="Calibri"/>
          <w:lang w:val="en-GB"/>
        </w:rPr>
        <w:t>. Under this law</w:t>
      </w:r>
      <w:r w:rsidR="00635FAF" w:rsidRPr="003A78F3">
        <w:rPr>
          <w:rFonts w:cs="Calibri"/>
          <w:lang w:val="en-GB"/>
        </w:rPr>
        <w:t>,</w:t>
      </w:r>
      <w:r w:rsidR="00622566" w:rsidRPr="003A78F3">
        <w:rPr>
          <w:rFonts w:cs="Calibri"/>
          <w:lang w:val="en-GB"/>
        </w:rPr>
        <w:t xml:space="preserve"> budget classification </w:t>
      </w:r>
      <w:r w:rsidR="00635FAF" w:rsidRPr="003A78F3">
        <w:rPr>
          <w:rFonts w:cs="Calibri"/>
          <w:lang w:val="en-GB"/>
        </w:rPr>
        <w:t>is</w:t>
      </w:r>
      <w:r w:rsidR="00622566" w:rsidRPr="003A78F3">
        <w:rPr>
          <w:rFonts w:cs="Calibri"/>
          <w:lang w:val="en-GB"/>
        </w:rPr>
        <w:t>: organi</w:t>
      </w:r>
      <w:r w:rsidR="00635FAF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>ational, economic, functional, program</w:t>
      </w:r>
      <w:r w:rsidR="00635FAF" w:rsidRPr="003A78F3">
        <w:rPr>
          <w:rFonts w:cs="Calibri"/>
          <w:lang w:val="en-GB"/>
        </w:rPr>
        <w:t>me,</w:t>
      </w:r>
      <w:r w:rsidR="00622566" w:rsidRPr="003A78F3">
        <w:rPr>
          <w:rFonts w:cs="Calibri"/>
          <w:lang w:val="en-GB"/>
        </w:rPr>
        <w:t xml:space="preserve"> and </w:t>
      </w:r>
      <w:r w:rsidR="00635FAF" w:rsidRPr="003A78F3">
        <w:rPr>
          <w:rFonts w:cs="Calibri"/>
          <w:lang w:val="en-GB"/>
        </w:rPr>
        <w:t xml:space="preserve">by </w:t>
      </w:r>
      <w:r w:rsidR="00622566" w:rsidRPr="003A78F3">
        <w:rPr>
          <w:rFonts w:cs="Calibri"/>
          <w:lang w:val="en-GB"/>
        </w:rPr>
        <w:t>fund</w:t>
      </w:r>
      <w:r w:rsidR="00D06646" w:rsidRPr="003A78F3">
        <w:rPr>
          <w:rFonts w:cs="Calibri"/>
          <w:lang w:val="en-GB"/>
        </w:rPr>
        <w:t>/</w:t>
      </w:r>
      <w:r w:rsidR="00622566" w:rsidRPr="003A78F3">
        <w:rPr>
          <w:rFonts w:cs="Calibri"/>
          <w:lang w:val="en-GB"/>
        </w:rPr>
        <w:t>sources</w:t>
      </w:r>
      <w:r w:rsidR="00635FAF" w:rsidRPr="003A78F3">
        <w:rPr>
          <w:rFonts w:cs="Calibri"/>
          <w:lang w:val="en-GB"/>
        </w:rPr>
        <w:t xml:space="preserve"> of funding</w:t>
      </w:r>
      <w:r w:rsidR="00622566" w:rsidRPr="003A78F3">
        <w:rPr>
          <w:rFonts w:cs="Calibri"/>
          <w:lang w:val="en-GB"/>
        </w:rPr>
        <w:t>.</w:t>
      </w:r>
    </w:p>
    <w:p w:rsidR="00A97C31" w:rsidRPr="003A78F3" w:rsidRDefault="00635FAF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T</w:t>
      </w:r>
      <w:r w:rsidR="00622566" w:rsidRPr="003A78F3">
        <w:rPr>
          <w:rFonts w:cs="Calibri"/>
          <w:lang w:val="en-GB"/>
        </w:rPr>
        <w:t xml:space="preserve">he Law on Financing </w:t>
      </w:r>
      <w:r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Institutions of </w:t>
      </w:r>
      <w:r w:rsidRPr="003A78F3">
        <w:rPr>
          <w:rFonts w:cs="Calibri"/>
          <w:lang w:val="en-GB"/>
        </w:rPr>
        <w:t>BiH,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 xml:space="preserve">as amended </w:t>
      </w:r>
      <w:r w:rsidR="00622566" w:rsidRPr="003A78F3">
        <w:rPr>
          <w:rFonts w:cs="Calibri"/>
          <w:lang w:val="en-GB"/>
        </w:rPr>
        <w:t xml:space="preserve">in 2009, </w:t>
      </w:r>
      <w:r w:rsidRPr="003A78F3">
        <w:rPr>
          <w:rFonts w:cs="Calibri"/>
          <w:lang w:val="en-GB"/>
        </w:rPr>
        <w:t>provides</w:t>
      </w:r>
      <w:r w:rsidR="00622566" w:rsidRPr="003A78F3">
        <w:rPr>
          <w:rFonts w:cs="Calibri"/>
          <w:lang w:val="en-GB"/>
        </w:rPr>
        <w:t xml:space="preserve"> that the BFP</w:t>
      </w:r>
      <w:r w:rsidR="00FE27AF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 and </w:t>
      </w:r>
      <w:r w:rsidR="00622566" w:rsidRPr="003A78F3">
        <w:rPr>
          <w:rFonts w:cs="Calibri"/>
          <w:lang w:val="en-GB"/>
        </w:rPr>
        <w:lastRenderedPageBreak/>
        <w:t>annual budget</w:t>
      </w:r>
      <w:r w:rsidR="00FE27AF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 shall be</w:t>
      </w:r>
      <w:r w:rsidR="00622566" w:rsidRPr="003A78F3">
        <w:rPr>
          <w:rFonts w:cs="Calibri"/>
          <w:lang w:val="en-GB"/>
        </w:rPr>
        <w:t xml:space="preserve"> prepared by the economic and program</w:t>
      </w:r>
      <w:r w:rsidRPr="003A78F3">
        <w:rPr>
          <w:rFonts w:cs="Calibri"/>
          <w:lang w:val="en-GB"/>
        </w:rPr>
        <w:t>me</w:t>
      </w:r>
      <w:r w:rsidR="00622566" w:rsidRPr="003A78F3">
        <w:rPr>
          <w:rFonts w:cs="Calibri"/>
          <w:lang w:val="en-GB"/>
        </w:rPr>
        <w:t xml:space="preserve"> classification. The </w:t>
      </w:r>
      <w:r w:rsidRPr="003A78F3">
        <w:rPr>
          <w:rFonts w:cs="Calibri"/>
          <w:lang w:val="en-GB"/>
        </w:rPr>
        <w:t xml:space="preserve">2008 Budget </w:t>
      </w:r>
      <w:r w:rsidR="00622566" w:rsidRPr="003A78F3">
        <w:rPr>
          <w:rFonts w:cs="Calibri"/>
          <w:lang w:val="en-GB"/>
        </w:rPr>
        <w:t xml:space="preserve">Law of BD </w:t>
      </w:r>
      <w:r w:rsidRPr="003A78F3">
        <w:rPr>
          <w:rFonts w:cs="Calibri"/>
          <w:lang w:val="en-GB"/>
        </w:rPr>
        <w:t>provides</w:t>
      </w:r>
      <w:r w:rsidR="00622566" w:rsidRPr="003A78F3">
        <w:rPr>
          <w:rFonts w:cs="Calibri"/>
          <w:lang w:val="en-GB"/>
        </w:rPr>
        <w:t xml:space="preserve"> that the budget </w:t>
      </w:r>
      <w:r w:rsidRPr="003A78F3">
        <w:rPr>
          <w:rFonts w:cs="Calibri"/>
          <w:lang w:val="en-GB"/>
        </w:rPr>
        <w:t xml:space="preserve">shall </w:t>
      </w:r>
      <w:r w:rsidR="00622566" w:rsidRPr="003A78F3">
        <w:rPr>
          <w:rFonts w:cs="Calibri"/>
          <w:lang w:val="en-GB"/>
        </w:rPr>
        <w:t xml:space="preserve">consist of </w:t>
      </w:r>
      <w:r w:rsidRPr="003A78F3">
        <w:rPr>
          <w:rFonts w:cs="Calibri"/>
          <w:lang w:val="en-GB"/>
        </w:rPr>
        <w:t xml:space="preserve">a </w:t>
      </w:r>
      <w:r w:rsidR="00622566" w:rsidRPr="003A78F3">
        <w:rPr>
          <w:rFonts w:cs="Calibri"/>
          <w:lang w:val="en-GB"/>
        </w:rPr>
        <w:t xml:space="preserve">general and </w:t>
      </w:r>
      <w:r w:rsidRPr="003A78F3">
        <w:rPr>
          <w:rFonts w:cs="Calibri"/>
          <w:lang w:val="en-GB"/>
        </w:rPr>
        <w:t xml:space="preserve">a </w:t>
      </w:r>
      <w:r w:rsidR="00622566" w:rsidRPr="003A78F3">
        <w:rPr>
          <w:rFonts w:cs="Calibri"/>
          <w:lang w:val="en-GB"/>
        </w:rPr>
        <w:t xml:space="preserve">special part </w:t>
      </w:r>
      <w:r w:rsidR="00D17353" w:rsidRPr="003A78F3">
        <w:rPr>
          <w:rFonts w:cs="Calibri"/>
          <w:lang w:val="en-GB"/>
        </w:rPr>
        <w:t>and</w:t>
      </w:r>
      <w:r w:rsidR="00622566" w:rsidRPr="003A78F3">
        <w:rPr>
          <w:rFonts w:cs="Calibri"/>
          <w:lang w:val="en-GB"/>
        </w:rPr>
        <w:t xml:space="preserve"> the </w:t>
      </w:r>
      <w:r w:rsidR="00D17353" w:rsidRPr="003A78F3">
        <w:rPr>
          <w:rFonts w:cs="Calibri"/>
          <w:lang w:val="en-GB"/>
        </w:rPr>
        <w:t xml:space="preserve">development programme </w:t>
      </w:r>
      <w:r w:rsidR="00622566" w:rsidRPr="003A78F3">
        <w:rPr>
          <w:rFonts w:cs="Calibri"/>
          <w:lang w:val="en-GB"/>
        </w:rPr>
        <w:t>plan.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budget management </w:t>
      </w:r>
      <w:r w:rsidR="002C39F6" w:rsidRPr="003A78F3">
        <w:rPr>
          <w:rFonts w:cs="Calibri"/>
          <w:lang w:val="en-GB"/>
        </w:rPr>
        <w:t xml:space="preserve">system </w:t>
      </w:r>
      <w:r w:rsidRPr="003A78F3">
        <w:rPr>
          <w:rFonts w:cs="Calibri"/>
          <w:lang w:val="en-GB"/>
        </w:rPr>
        <w:t xml:space="preserve">(BPMIS), </w:t>
      </w:r>
      <w:r w:rsidR="002C39F6" w:rsidRPr="003A78F3">
        <w:rPr>
          <w:rFonts w:cs="Calibri"/>
          <w:lang w:val="en-GB"/>
        </w:rPr>
        <w:t xml:space="preserve">which was </w:t>
      </w:r>
      <w:r w:rsidRPr="003A78F3">
        <w:rPr>
          <w:rFonts w:cs="Calibri"/>
          <w:lang w:val="en-GB"/>
        </w:rPr>
        <w:t xml:space="preserve">implemented by </w:t>
      </w:r>
      <w:r w:rsidR="003B454C">
        <w:rPr>
          <w:rFonts w:cs="Calibri"/>
          <w:lang w:val="en-GB"/>
        </w:rPr>
        <w:t>PARCO</w:t>
      </w:r>
      <w:r w:rsidR="002C39F6" w:rsidRPr="003A78F3">
        <w:rPr>
          <w:rFonts w:cs="Calibri"/>
          <w:lang w:val="en-GB"/>
        </w:rPr>
        <w:t xml:space="preserve"> at the state </w:t>
      </w:r>
      <w:r w:rsidRPr="003A78F3">
        <w:rPr>
          <w:rFonts w:cs="Calibri"/>
          <w:lang w:val="en-GB"/>
        </w:rPr>
        <w:t>and entity levels of government in January 2014</w:t>
      </w:r>
      <w:r w:rsidR="002C39F6" w:rsidRPr="003A78F3">
        <w:rPr>
          <w:rFonts w:cs="Calibri"/>
          <w:lang w:val="en-GB"/>
        </w:rPr>
        <w:t>,</w:t>
      </w:r>
      <w:r w:rsidRPr="003A78F3">
        <w:rPr>
          <w:rFonts w:cs="Calibri"/>
          <w:lang w:val="en-GB"/>
        </w:rPr>
        <w:t xml:space="preserve"> contributes to the introduction of multi-year budgeting and </w:t>
      </w:r>
      <w:r w:rsidR="005D0FF0" w:rsidRPr="003A78F3">
        <w:rPr>
          <w:rFonts w:cs="Calibri"/>
          <w:lang w:val="en-GB"/>
        </w:rPr>
        <w:t xml:space="preserve">has created </w:t>
      </w:r>
      <w:r w:rsidRPr="003A78F3">
        <w:rPr>
          <w:rFonts w:cs="Calibri"/>
          <w:lang w:val="en-GB"/>
        </w:rPr>
        <w:t xml:space="preserve">technical </w:t>
      </w:r>
      <w:r w:rsidR="003B454C">
        <w:rPr>
          <w:rFonts w:cs="Calibri"/>
          <w:lang w:val="en-GB"/>
        </w:rPr>
        <w:t>preconditions</w:t>
      </w:r>
      <w:r w:rsidRPr="003A78F3">
        <w:rPr>
          <w:rFonts w:cs="Calibri"/>
          <w:lang w:val="en-GB"/>
        </w:rPr>
        <w:t xml:space="preserve"> for the introduction of the </w:t>
      </w:r>
      <w:r w:rsidR="005D0FF0" w:rsidRPr="003A78F3">
        <w:rPr>
          <w:rFonts w:cs="Calibri"/>
          <w:lang w:val="en-GB"/>
        </w:rPr>
        <w:t xml:space="preserve">programme-based budgeting </w:t>
      </w:r>
      <w:r w:rsidRPr="003A78F3">
        <w:rPr>
          <w:rFonts w:cs="Calibri"/>
          <w:lang w:val="en-GB"/>
        </w:rPr>
        <w:t xml:space="preserve">methodology in BiH public administration. </w:t>
      </w:r>
      <w:r w:rsidR="00D11678" w:rsidRPr="003A78F3">
        <w:rPr>
          <w:rFonts w:cs="Calibri"/>
          <w:lang w:val="en-GB"/>
        </w:rPr>
        <w:t>Submission of budget beneficiaries’ requests a</w:t>
      </w:r>
      <w:r w:rsidRPr="003A78F3">
        <w:rPr>
          <w:rFonts w:cs="Calibri"/>
          <w:lang w:val="en-GB"/>
        </w:rPr>
        <w:t xml:space="preserve">ccording to the Instruction for </w:t>
      </w:r>
      <w:r w:rsidR="005D0FF0" w:rsidRPr="003A78F3">
        <w:rPr>
          <w:rFonts w:cs="Calibri"/>
          <w:lang w:val="en-GB"/>
        </w:rPr>
        <w:t xml:space="preserve">Budget Beneficiaries </w:t>
      </w:r>
      <w:r w:rsidR="000C1D77" w:rsidRPr="003A78F3">
        <w:rPr>
          <w:rFonts w:cs="Calibri"/>
          <w:lang w:val="en-GB"/>
        </w:rPr>
        <w:t>N</w:t>
      </w:r>
      <w:r w:rsidR="005D0FF0" w:rsidRPr="003A78F3">
        <w:rPr>
          <w:rFonts w:cs="Calibri"/>
          <w:lang w:val="en-GB"/>
        </w:rPr>
        <w:t>o.</w:t>
      </w:r>
      <w:r w:rsidRPr="003A78F3">
        <w:rPr>
          <w:rFonts w:cs="Calibri"/>
          <w:lang w:val="en-GB"/>
        </w:rPr>
        <w:t xml:space="preserve"> 1, for the </w:t>
      </w:r>
      <w:r w:rsidR="00D11678" w:rsidRPr="003A78F3">
        <w:rPr>
          <w:rFonts w:cs="Calibri"/>
          <w:lang w:val="en-GB"/>
        </w:rPr>
        <w:t xml:space="preserve">purposes of </w:t>
      </w:r>
      <w:r w:rsidRPr="003A78F3">
        <w:rPr>
          <w:rFonts w:cs="Calibri"/>
          <w:lang w:val="en-GB"/>
        </w:rPr>
        <w:t xml:space="preserve">preparation of </w:t>
      </w:r>
      <w:r w:rsidR="005D0FF0" w:rsidRPr="003A78F3">
        <w:rPr>
          <w:rFonts w:cs="Calibri"/>
          <w:lang w:val="en-GB"/>
        </w:rPr>
        <w:t xml:space="preserve">the 2015-2017 </w:t>
      </w:r>
      <w:r w:rsidRPr="003A78F3">
        <w:rPr>
          <w:rFonts w:cs="Calibri"/>
          <w:lang w:val="en-GB"/>
        </w:rPr>
        <w:t>BFP</w:t>
      </w:r>
      <w:r w:rsidR="00D11678" w:rsidRPr="003A78F3">
        <w:rPr>
          <w:rFonts w:cs="Calibri"/>
          <w:lang w:val="en-GB"/>
        </w:rPr>
        <w:t>,</w:t>
      </w:r>
      <w:r w:rsidR="000C1D77" w:rsidRPr="003A78F3">
        <w:rPr>
          <w:rFonts w:cs="Calibri"/>
          <w:lang w:val="en-GB"/>
        </w:rPr>
        <w:t xml:space="preserve"> </w:t>
      </w:r>
      <w:r w:rsidR="00D11678" w:rsidRPr="003A78F3">
        <w:rPr>
          <w:rFonts w:cs="Calibri"/>
          <w:lang w:val="en-GB"/>
        </w:rPr>
        <w:t>was done</w:t>
      </w:r>
      <w:r w:rsidRPr="003A78F3">
        <w:rPr>
          <w:rFonts w:cs="Calibri"/>
          <w:lang w:val="en-GB"/>
        </w:rPr>
        <w:t xml:space="preserve"> through BPMIS. </w:t>
      </w:r>
      <w:r w:rsidR="000C1D77" w:rsidRPr="003A78F3">
        <w:rPr>
          <w:rFonts w:cs="Calibri"/>
          <w:lang w:val="en-GB"/>
        </w:rPr>
        <w:t>Further</w:t>
      </w:r>
      <w:r w:rsidRPr="003A78F3">
        <w:rPr>
          <w:rFonts w:cs="Calibri"/>
          <w:lang w:val="en-GB"/>
        </w:rPr>
        <w:t>, Instruction No. 2</w:t>
      </w:r>
      <w:r w:rsidR="00D11678" w:rsidRPr="003A78F3">
        <w:rPr>
          <w:rFonts w:cs="Calibri"/>
          <w:lang w:val="en-GB"/>
        </w:rPr>
        <w:t xml:space="preserve"> and</w:t>
      </w:r>
      <w:r w:rsidRPr="003A78F3">
        <w:rPr>
          <w:rFonts w:cs="Calibri"/>
          <w:lang w:val="en-GB"/>
        </w:rPr>
        <w:t xml:space="preserve"> </w:t>
      </w:r>
      <w:r w:rsidR="000C1D77" w:rsidRPr="003A78F3">
        <w:rPr>
          <w:rFonts w:cs="Calibri"/>
          <w:lang w:val="en-GB"/>
        </w:rPr>
        <w:t>requests</w:t>
      </w:r>
      <w:r w:rsidRPr="003A78F3">
        <w:rPr>
          <w:rFonts w:cs="Calibri"/>
          <w:lang w:val="en-GB"/>
        </w:rPr>
        <w:t xml:space="preserve"> for amendments to the budget are </w:t>
      </w:r>
      <w:r w:rsidR="000C1D77" w:rsidRPr="003A78F3">
        <w:rPr>
          <w:rFonts w:cs="Calibri"/>
          <w:lang w:val="en-GB"/>
        </w:rPr>
        <w:t>also</w:t>
      </w:r>
      <w:r w:rsidRPr="003A78F3">
        <w:rPr>
          <w:rFonts w:cs="Calibri"/>
          <w:lang w:val="en-GB"/>
        </w:rPr>
        <w:t xml:space="preserve"> submitted through BPMIS. Entity budgets are planned according to the </w:t>
      </w:r>
      <w:r w:rsidR="00D11678" w:rsidRPr="003A78F3">
        <w:rPr>
          <w:rFonts w:cs="Calibri"/>
          <w:lang w:val="en-GB"/>
        </w:rPr>
        <w:t xml:space="preserve">programme-based budgeting methodology but are not adopted </w:t>
      </w:r>
      <w:r w:rsidRPr="003A78F3">
        <w:rPr>
          <w:rFonts w:cs="Calibri"/>
          <w:lang w:val="en-GB"/>
        </w:rPr>
        <w:t>as such and</w:t>
      </w:r>
      <w:r w:rsidR="00D11678" w:rsidRPr="003A78F3">
        <w:rPr>
          <w:rFonts w:cs="Calibri"/>
          <w:lang w:val="en-GB"/>
        </w:rPr>
        <w:t xml:space="preserve"> are</w:t>
      </w:r>
      <w:r w:rsidRPr="003A78F3">
        <w:rPr>
          <w:rFonts w:cs="Calibri"/>
          <w:lang w:val="en-GB"/>
        </w:rPr>
        <w:t xml:space="preserve"> not published on the website</w:t>
      </w:r>
      <w:r w:rsidR="003B454C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 of the entity ministries of finance. Budget execution through treasury operations </w:t>
      </w:r>
      <w:r w:rsidR="00D11678" w:rsidRPr="003A78F3">
        <w:rPr>
          <w:rFonts w:cs="Calibri"/>
          <w:lang w:val="en-GB"/>
        </w:rPr>
        <w:t>is managed by means of an</w:t>
      </w:r>
      <w:r w:rsidRPr="003A78F3">
        <w:rPr>
          <w:rFonts w:cs="Calibri"/>
          <w:lang w:val="en-GB"/>
        </w:rPr>
        <w:t>other</w:t>
      </w:r>
      <w:r w:rsidR="00D11678" w:rsidRPr="003A78F3">
        <w:rPr>
          <w:rFonts w:cs="Calibri"/>
          <w:lang w:val="en-GB"/>
        </w:rPr>
        <w:t xml:space="preserve"> piece of</w:t>
      </w:r>
      <w:r w:rsidRPr="003A78F3">
        <w:rPr>
          <w:rFonts w:cs="Calibri"/>
          <w:lang w:val="en-GB"/>
        </w:rPr>
        <w:t xml:space="preserve"> software.</w:t>
      </w:r>
      <w:r w:rsidR="006A3B0B" w:rsidRPr="003A78F3">
        <w:rPr>
          <w:rFonts w:cs="Calibri"/>
          <w:lang w:val="en-GB"/>
        </w:rPr>
        <w:t xml:space="preserve"> Budget execution reports are prepared and adopted by the competent authorities only by economic and functional classification, while the budget execution report in RS is also presented by organisational codes.</w:t>
      </w:r>
    </w:p>
    <w:p w:rsidR="00A97C31" w:rsidRPr="003A78F3" w:rsidRDefault="006A3B0B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Until 31 December </w:t>
      </w:r>
      <w:r w:rsidR="00622566" w:rsidRPr="003A78F3">
        <w:rPr>
          <w:rFonts w:cs="Calibri"/>
          <w:lang w:val="en-GB"/>
        </w:rPr>
        <w:t xml:space="preserve">2014, reports on the expenditures of the government sector in BiH by functional classification </w:t>
      </w:r>
      <w:r w:rsidR="00172ACD" w:rsidRPr="003A78F3">
        <w:rPr>
          <w:rFonts w:cs="Calibri"/>
          <w:lang w:val="en-GB"/>
        </w:rPr>
        <w:t>we</w:t>
      </w:r>
      <w:r w:rsidR="00622566" w:rsidRPr="003A78F3">
        <w:rPr>
          <w:rFonts w:cs="Calibri"/>
          <w:lang w:val="en-GB"/>
        </w:rPr>
        <w:t>re not comparable at all levels</w:t>
      </w:r>
      <w:r w:rsidR="00172ACD" w:rsidRPr="003A78F3">
        <w:rPr>
          <w:rFonts w:cs="Calibri"/>
          <w:lang w:val="en-GB"/>
        </w:rPr>
        <w:t xml:space="preserve"> of government, since the</w:t>
      </w:r>
      <w:r w:rsidR="00622566" w:rsidRPr="003A78F3">
        <w:rPr>
          <w:rFonts w:cs="Calibri"/>
          <w:lang w:val="en-GB"/>
        </w:rPr>
        <w:t xml:space="preserve"> </w:t>
      </w:r>
      <w:r w:rsidR="00172ACD" w:rsidRPr="003A78F3">
        <w:rPr>
          <w:rFonts w:cs="Calibri"/>
          <w:lang w:val="en-GB"/>
        </w:rPr>
        <w:t xml:space="preserve">methodology for classifying expenditure and expenses of the government sector is not </w:t>
      </w:r>
      <w:r w:rsidR="00622566" w:rsidRPr="003A78F3">
        <w:rPr>
          <w:rFonts w:cs="Calibri"/>
          <w:lang w:val="en-GB"/>
        </w:rPr>
        <w:t>harmoni</w:t>
      </w:r>
      <w:r w:rsidR="00172ACD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ed. 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Comparison of the data for the general government sector in BiH, published by the  Macroeconomic Analysis</w:t>
      </w:r>
      <w:r w:rsidR="00172ACD" w:rsidRPr="003A78F3">
        <w:rPr>
          <w:rFonts w:cs="Calibri"/>
          <w:lang w:val="en-GB"/>
        </w:rPr>
        <w:t xml:space="preserve"> Unit</w:t>
      </w:r>
      <w:r w:rsidRPr="003A78F3">
        <w:rPr>
          <w:rFonts w:cs="Calibri"/>
          <w:lang w:val="en-GB"/>
        </w:rPr>
        <w:t xml:space="preserve"> (MA</w:t>
      </w:r>
      <w:r w:rsidR="00172ACD" w:rsidRPr="003A78F3">
        <w:rPr>
          <w:rFonts w:cs="Calibri"/>
          <w:lang w:val="en-GB"/>
        </w:rPr>
        <w:t>U</w:t>
      </w:r>
      <w:r w:rsidRPr="003A78F3">
        <w:rPr>
          <w:rFonts w:cs="Calibri"/>
          <w:lang w:val="en-GB"/>
        </w:rPr>
        <w:t>)</w:t>
      </w:r>
      <w:r w:rsidR="00172ACD" w:rsidRPr="003A78F3">
        <w:rPr>
          <w:rFonts w:cs="Calibri"/>
          <w:lang w:val="en-GB"/>
        </w:rPr>
        <w:t>, shows</w:t>
      </w:r>
      <w:r w:rsidRPr="003A78F3">
        <w:rPr>
          <w:rFonts w:cs="Calibri"/>
          <w:lang w:val="en-GB"/>
        </w:rPr>
        <w:t xml:space="preserve"> that the total expenditure for 2014 was nearly 4% higher than the expenditure in 2013, and that </w:t>
      </w:r>
      <w:r w:rsidR="008C47DB" w:rsidRPr="003A78F3">
        <w:rPr>
          <w:rFonts w:cs="Calibri"/>
          <w:lang w:val="en-GB"/>
        </w:rPr>
        <w:t>compensation of employees (</w:t>
      </w:r>
      <w:r w:rsidRPr="003A78F3">
        <w:rPr>
          <w:rFonts w:cs="Calibri"/>
          <w:lang w:val="en-GB"/>
        </w:rPr>
        <w:t>gross wages and employee benefits</w:t>
      </w:r>
      <w:r w:rsidR="008C47DB" w:rsidRPr="003A78F3">
        <w:rPr>
          <w:rFonts w:cs="Calibri"/>
          <w:lang w:val="en-GB"/>
        </w:rPr>
        <w:t>)</w:t>
      </w:r>
      <w:r w:rsidRPr="003A78F3">
        <w:rPr>
          <w:rFonts w:cs="Calibri"/>
          <w:lang w:val="en-GB"/>
        </w:rPr>
        <w:t xml:space="preserve"> increased by 2.3% in 2014 </w:t>
      </w:r>
      <w:r w:rsidR="00C93E93" w:rsidRPr="003A78F3">
        <w:rPr>
          <w:rFonts w:cs="Calibri"/>
          <w:lang w:val="en-GB"/>
        </w:rPr>
        <w:t>compared</w:t>
      </w:r>
      <w:r w:rsidRPr="003A78F3">
        <w:rPr>
          <w:rFonts w:cs="Calibri"/>
          <w:lang w:val="en-GB"/>
        </w:rPr>
        <w:t xml:space="preserve"> to 2013.</w:t>
      </w:r>
    </w:p>
    <w:p w:rsidR="00A97C31" w:rsidRPr="003A78F3" w:rsidRDefault="00622566" w:rsidP="00403657">
      <w:pPr>
        <w:spacing w:line="240" w:lineRule="auto"/>
        <w:jc w:val="center"/>
        <w:rPr>
          <w:lang w:val="en-GB"/>
        </w:rPr>
      </w:pPr>
      <w:r w:rsidRPr="003A78F3">
        <w:rPr>
          <w:rFonts w:cs="Calibri"/>
          <w:lang w:val="en-GB"/>
        </w:rPr>
        <w:t xml:space="preserve">Table 2. </w:t>
      </w:r>
      <w:r w:rsidR="00C93E93" w:rsidRPr="003A78F3">
        <w:rPr>
          <w:rFonts w:cs="Calibri"/>
          <w:lang w:val="en-GB"/>
        </w:rPr>
        <w:t>Distribution</w:t>
      </w:r>
      <w:r w:rsidRPr="003A78F3">
        <w:rPr>
          <w:rFonts w:cs="Calibri"/>
          <w:lang w:val="en-GB"/>
        </w:rPr>
        <w:t xml:space="preserve"> of Expenditures 2013-2014 </w:t>
      </w:r>
      <w:r w:rsidR="007B7870">
        <w:rPr>
          <w:rFonts w:cs="Calibri"/>
          <w:lang w:val="en-GB"/>
        </w:rPr>
      </w:r>
      <w:r w:rsidR="007B7870">
        <w:rPr>
          <w:rFonts w:cs="Calibri"/>
          <w:lang w:val="en-GB"/>
        </w:rPr>
        <w:pict>
          <v:group id="_x0000_s1164" editas="canvas" style="width:291.95pt;height:190.8pt;mso-position-horizontal-relative:char;mso-position-vertical-relative:line" coordorigin="-10,-171" coordsize="5839,3816">
            <o:lock v:ext="edit" aspectratio="t"/>
            <v:shape id="_x0000_s1163" type="#_x0000_t75" style="position:absolute;left:-10;top:-171;width:5839;height:3816" o:preferrelative="f" stroked="t">
              <v:fill o:detectmouseclick="t"/>
              <v:path o:extrusionok="t" o:connecttype="none"/>
              <o:lock v:ext="edit" text="t"/>
            </v:shape>
            <v:rect id="_x0000_s1165" style="position:absolute;width:5819;height:133" fillcolor="#ebf1de" stroked="f"/>
            <v:rect id="_x0000_s1166" style="position:absolute;top:608;width:5819;height:209" fillcolor="#ebf1de" stroked="f"/>
            <v:rect id="_x0000_s1167" style="position:absolute;top:1007;width:5819;height:209" fillcolor="#ebf1de" stroked="f"/>
            <v:rect id="_x0000_s1168" style="position:absolute;top:1406;width:5819;height:209" fillcolor="#ebf1de" stroked="f"/>
            <v:rect id="_x0000_s1169" style="position:absolute;top:1805;width:5819;height:208" fillcolor="#ebf1de" stroked="f"/>
            <v:rect id="_x0000_s1170" style="position:absolute;top:2203;width:5819;height:209" fillcolor="#ebf1de" stroked="f"/>
            <v:rect id="_x0000_s1171" style="position:absolute;top:2602;width:5819;height:209" fillcolor="#ebf1de" stroked="f"/>
            <v:rect id="_x0000_s1172" style="position:absolute;top:3001;width:5819;height:209" fillcolor="#ebf1de" stroked="f"/>
            <v:rect id="_x0000_s1173" style="position:absolute;left:31;top:285;width:1437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Reports in million KM </w:t>
                    </w:r>
                  </w:p>
                </w:txbxContent>
              </v:textbox>
            </v:rect>
            <v:rect id="_x0000_s1174" style="position:absolute;left:3562;top:285;width:32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2013 </w:t>
                    </w:r>
                  </w:p>
                </w:txbxContent>
              </v:textbox>
            </v:rect>
            <v:rect id="_x0000_s1175" style="position:absolute;left:4711;top:285;width:32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2014 </w:t>
                    </w:r>
                  </w:p>
                </w:txbxContent>
              </v:textbox>
            </v:rect>
            <v:rect id="_x0000_s1176" style="position:absolute;left:31;top:627;width:787;height:425;mso-wrap-style:none" filled="f" stroked="f">
              <v:textbox style="mso-fit-shape-to-text:t" inset="0,0,0,0">
                <w:txbxContent>
                  <w:p w:rsidR="00B829AF" w:rsidRPr="008C47DB" w:rsidRDefault="00B829AF">
                    <w:pPr>
                      <w:rPr>
                        <w:lang w:val="sr-Latn-CS"/>
                      </w:rPr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sr-Latn-CS"/>
                      </w:rPr>
                      <w:t>Expenditure</w:t>
                    </w:r>
                  </w:p>
                </w:txbxContent>
              </v:textbox>
            </v:rect>
            <v:rect id="_x0000_s1177" style="position:absolute;left:4079;top:627;width:567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11,196.6</w:t>
                    </w:r>
                  </w:p>
                </w:txbxContent>
              </v:textbox>
            </v:rect>
            <v:rect id="_x0000_s1178" style="position:absolute;left:5208;top:627;width:567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11,951.3</w:t>
                    </w:r>
                  </w:p>
                </w:txbxContent>
              </v:textbox>
            </v:rect>
            <v:rect id="_x0000_s1179" style="position:absolute;left:217;top:826;width:538;height:425;mso-wrap-style:none" filled="f" stroked="f">
              <v:textbox style="mso-fit-shape-to-text:t" inset="0,0,0,0">
                <w:txbxContent>
                  <w:p w:rsidR="00B829AF" w:rsidRPr="008C47DB" w:rsidRDefault="00B829AF">
                    <w:pPr>
                      <w:rPr>
                        <w:lang w:val="sr-Latn-CS"/>
                      </w:rPr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sr-Latn-CS"/>
                      </w:rPr>
                      <w:t>Expense</w:t>
                    </w:r>
                  </w:p>
                </w:txbxContent>
              </v:textbox>
            </v:rect>
            <v:rect id="_x0000_s1180" style="position:absolute;left:4079;top:826;width:567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10,844.0</w:t>
                    </w:r>
                  </w:p>
                </w:txbxContent>
              </v:textbox>
            </v:rect>
            <v:rect id="_x0000_s1181" style="position:absolute;left:5208;top:826;width:567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11,261.5</w:t>
                    </w:r>
                  </w:p>
                </w:txbxContent>
              </v:textbox>
            </v:rect>
            <v:rect id="_x0000_s1182" style="position:absolute;left:404;top:1026;width:1890;height:425;mso-wrap-style:none" filled="f" stroked="f">
              <v:textbox style="mso-fit-shape-to-text:t" inset="0,0,0,0">
                <w:txbxContent>
                  <w:p w:rsidR="00B829AF" w:rsidRPr="008C47DB" w:rsidRDefault="00B829AF">
                    <w:pPr>
                      <w:rPr>
                        <w:lang w:val="sr-Latn-CS"/>
                      </w:rPr>
                    </w:pPr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  <w:lang w:val="sr-Latn-CS"/>
                      </w:rPr>
                      <w:t>Compensation of employees</w:t>
                    </w:r>
                  </w:p>
                </w:txbxContent>
              </v:textbox>
            </v:rect>
            <v:rect id="_x0000_s1183" style="position:absolute;left:4162;top:1026;width:490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</w:rPr>
                      <w:t>3,218.3</w:t>
                    </w:r>
                  </w:p>
                </w:txbxContent>
              </v:textbox>
            </v:rect>
            <v:rect id="_x0000_s1184" style="position:absolute;left:5291;top:1026;width:490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b/>
                        <w:bCs/>
                        <w:color w:val="000000"/>
                        <w:sz w:val="16"/>
                        <w:szCs w:val="16"/>
                      </w:rPr>
                      <w:t>3,293,2</w:t>
                    </w:r>
                  </w:p>
                </w:txbxContent>
              </v:textbox>
            </v:rect>
            <v:rect id="_x0000_s1185" style="position:absolute;left:404;top:1225;width:1676;height:425;mso-wrap-style:none" filled="f" stroked="f">
              <v:textbox style="mso-fit-shape-to-text:t" inset="0,0,0,0">
                <w:txbxContent>
                  <w:p w:rsidR="00B829AF" w:rsidRPr="008C47DB" w:rsidRDefault="00B829AF">
                    <w:pPr>
                      <w:rPr>
                        <w:lang w:val="sr-Latn-CS"/>
                      </w:rPr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sr-Latn-CS"/>
                      </w:rPr>
                      <w:t>Use of goods and services</w:t>
                    </w:r>
                  </w:p>
                </w:txbxContent>
              </v:textbox>
            </v:rect>
            <v:rect id="_x0000_s1186" style="position:absolute;left:4162;top:1225;width:486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2,045.3</w:t>
                    </w:r>
                  </w:p>
                </w:txbxContent>
              </v:textbox>
            </v:rect>
            <v:rect id="_x0000_s1187" style="position:absolute;left:5291;top:1225;width:486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2,144.7</w:t>
                    </w:r>
                  </w:p>
                </w:txbxContent>
              </v:textbox>
            </v:rect>
            <v:rect id="_x0000_s1188" style="position:absolute;left:404;top:1425;width:940;height:425;mso-wrap-style:none" filled="f" stroked="f">
              <v:textbox style="mso-fit-shape-to-text:t" inset="0,0,0,0">
                <w:txbxContent>
                  <w:p w:rsidR="00B829AF" w:rsidRPr="000F466B" w:rsidRDefault="00B829AF">
                    <w:pPr>
                      <w:rPr>
                        <w:lang w:val="sr-Latn-CS"/>
                      </w:rPr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sr-Latn-CS"/>
                      </w:rPr>
                      <w:t>Social benefits</w:t>
                    </w:r>
                  </w:p>
                </w:txbxContent>
              </v:textbox>
            </v:rect>
            <v:rect id="_x0000_s1189" style="position:absolute;left:4162;top:1425;width:486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4,413.7</w:t>
                    </w:r>
                  </w:p>
                </w:txbxContent>
              </v:textbox>
            </v:rect>
            <v:rect id="_x0000_s1190" style="position:absolute;left:5291;top:1425;width:486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4,693.7</w:t>
                    </w:r>
                  </w:p>
                </w:txbxContent>
              </v:textbox>
            </v:rect>
            <v:rect id="_x0000_s1191" style="position:absolute;left:404;top:1624;width:503;height:425;mso-wrap-style:none" filled="f" stroked="f">
              <v:textbox style="mso-fit-shape-to-text:t" inset="0,0,0,0">
                <w:txbxContent>
                  <w:p w:rsidR="00B829AF" w:rsidRPr="000F466B" w:rsidRDefault="00B829AF">
                    <w:pPr>
                      <w:rPr>
                        <w:lang w:val="sr-Latn-CS"/>
                      </w:rPr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sr-Latn-CS"/>
                      </w:rPr>
                      <w:t>Interest</w:t>
                    </w:r>
                  </w:p>
                </w:txbxContent>
              </v:textbox>
            </v:rect>
            <v:rect id="_x0000_s1192" style="position:absolute;left:4287;top:1624;width:36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172.6</w:t>
                    </w:r>
                  </w:p>
                </w:txbxContent>
              </v:textbox>
            </v:rect>
            <v:rect id="_x0000_s1193" style="position:absolute;left:5415;top:1624;width:36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207.6</w:t>
                    </w:r>
                  </w:p>
                </w:txbxContent>
              </v:textbox>
            </v:rect>
            <v:rect id="_x0000_s1194" style="position:absolute;left:590;top:1824;width:2280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 xml:space="preserve">Interest payments to non-residents </w:t>
                    </w:r>
                  </w:p>
                </w:txbxContent>
              </v:textbox>
            </v:rect>
            <v:rect id="_x0000_s1195" style="position:absolute;left:4369;top:1824;width:284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93.7</w:t>
                    </w:r>
                  </w:p>
                </w:txbxContent>
              </v:textbox>
            </v:rect>
            <v:rect id="_x0000_s1196" style="position:absolute;left:5415;top:1824;width:36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104.7</w:t>
                    </w:r>
                  </w:p>
                </w:txbxContent>
              </v:textbox>
            </v:rect>
            <v:rect id="_x0000_s1197" style="position:absolute;left:590;top:2023;width:1979;height:425;mso-wrap-style:none" filled="f" stroked="f">
              <v:textbox style="mso-fit-shape-to-text:t" inset="0,0,0,0">
                <w:txbxContent>
                  <w:p w:rsidR="00B829AF" w:rsidRPr="000F466B" w:rsidRDefault="00B829AF">
                    <w:pPr>
                      <w:rPr>
                        <w:lang w:val="sr-Latn-CS"/>
                      </w:rPr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sr-Latn-CS"/>
                      </w:rPr>
                      <w:t>Interest payments to residents</w:t>
                    </w:r>
                  </w:p>
                </w:txbxContent>
              </v:textbox>
            </v:rect>
            <v:rect id="_x0000_s1198" style="position:absolute;left:4369;top:2023;width:284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78.9</w:t>
                    </w:r>
                  </w:p>
                </w:txbxContent>
              </v:textbox>
            </v:rect>
            <v:rect id="_x0000_s1199" style="position:absolute;left:5415;top:2023;width:36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102.9</w:t>
                    </w:r>
                  </w:p>
                </w:txbxContent>
              </v:textbox>
            </v:rect>
            <v:rect id="_x0000_s1200" style="position:absolute;left:404;top:2222;width:604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Subsidies</w:t>
                    </w:r>
                  </w:p>
                </w:txbxContent>
              </v:textbox>
            </v:rect>
            <v:rect id="_x0000_s1201" style="position:absolute;left:4287;top:2222;width:36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371.8</w:t>
                    </w:r>
                  </w:p>
                </w:txbxContent>
              </v:textbox>
            </v:rect>
            <v:rect id="_x0000_s1202" style="position:absolute;left:5415;top:2222;width:36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353.7</w:t>
                    </w:r>
                  </w:p>
                </w:txbxContent>
              </v:textbox>
            </v:rect>
            <v:rect id="_x0000_s1203" style="position:absolute;left:404;top:2422;width:1073;height:425;mso-wrap-style:none" filled="f" stroked="f">
              <v:textbox style="mso-fit-shape-to-text:t" inset="0,0,0,0">
                <w:txbxContent>
                  <w:p w:rsidR="00B829AF" w:rsidRPr="000F466B" w:rsidRDefault="00B829AF">
                    <w:pPr>
                      <w:rPr>
                        <w:lang w:val="sr-Latn-CS"/>
                      </w:rPr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sr-Latn-CS"/>
                      </w:rPr>
                      <w:t xml:space="preserve">Grants, transfers </w:t>
                    </w:r>
                  </w:p>
                </w:txbxContent>
              </v:textbox>
            </v:rect>
            <v:rect id="_x0000_s1204" style="position:absolute;left:4287;top:2422;width:36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206.5</w:t>
                    </w:r>
                  </w:p>
                </w:txbxContent>
              </v:textbox>
            </v:rect>
            <v:rect id="_x0000_s1205" style="position:absolute;left:5415;top:2422;width:36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125.9</w:t>
                    </w:r>
                  </w:p>
                </w:txbxContent>
              </v:textbox>
            </v:rect>
            <v:rect id="_x0000_s1206" style="position:absolute;left:404;top:2621;width:952;height:425;mso-wrap-style:none" filled="f" stroked="f">
              <v:textbox style="mso-fit-shape-to-text:t" inset="0,0,0,0">
                <w:txbxContent>
                  <w:p w:rsidR="00B829AF" w:rsidRPr="000F466B" w:rsidRDefault="00B829AF">
                    <w:pPr>
                      <w:rPr>
                        <w:lang w:val="sr-Latn-CS"/>
                      </w:rPr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sr-Latn-CS"/>
                      </w:rPr>
                      <w:t>Other expense</w:t>
                    </w:r>
                  </w:p>
                </w:txbxContent>
              </v:textbox>
            </v:rect>
            <v:rect id="_x0000_s1207" style="position:absolute;left:4287;top:2621;width:36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415.7</w:t>
                    </w:r>
                  </w:p>
                </w:txbxContent>
              </v:textbox>
            </v:rect>
            <v:rect id="_x0000_s1208" style="position:absolute;left:5415;top:2621;width:36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442.7</w:t>
                    </w:r>
                  </w:p>
                </w:txbxContent>
              </v:textbox>
            </v:rect>
            <v:rect id="_x0000_s1209" style="position:absolute;left:217;top:2821;width:2418;height:425;mso-wrap-style:none" filled="f" stroked="f">
              <v:textbox style="mso-fit-shape-to-text:t" inset="0,0,0,0">
                <w:txbxContent>
                  <w:p w:rsidR="00B829AF" w:rsidRPr="000F466B" w:rsidRDefault="00B829AF">
                    <w:pPr>
                      <w:rPr>
                        <w:lang w:val="sr-Latn-CS"/>
                      </w:rPr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sr-Latn-CS"/>
                      </w:rPr>
                      <w:t>Net acquisition of nonfinancial assets</w:t>
                    </w:r>
                  </w:p>
                </w:txbxContent>
              </v:textbox>
            </v:rect>
            <v:rect id="_x0000_s1210" style="position:absolute;left:4287;top:2821;width:36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352.6</w:t>
                    </w:r>
                  </w:p>
                </w:txbxContent>
              </v:textbox>
            </v:rect>
            <v:rect id="_x0000_s1211" style="position:absolute;left:5415;top:2821;width:36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689.8</w:t>
                    </w:r>
                  </w:p>
                </w:txbxContent>
              </v:textbox>
            </v:rect>
            <v:rect id="_x0000_s1212" style="position:absolute;left:404;top:3020;width:2162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 xml:space="preserve">Acquisition of nonfinancial assets </w:t>
                    </w:r>
                  </w:p>
                </w:txbxContent>
              </v:textbox>
            </v:rect>
            <v:rect id="_x0000_s1213" style="position:absolute;left:4287;top:3020;width:36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388.7</w:t>
                    </w:r>
                  </w:p>
                </w:txbxContent>
              </v:textbox>
            </v:rect>
            <v:rect id="_x0000_s1214" style="position:absolute;left:5415;top:3020;width:365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742.5</w:t>
                    </w:r>
                  </w:p>
                </w:txbxContent>
              </v:textbox>
            </v:rect>
            <v:rect id="_x0000_s1215" style="position:absolute;left:404;top:3220;width:1981;height:425;mso-wrap-style:none" filled="f" stroked="f">
              <v:textbox style="mso-fit-shape-to-text:t" inset="0,0,0,0">
                <w:txbxContent>
                  <w:p w:rsidR="00B829AF" w:rsidRPr="000F466B" w:rsidRDefault="00B829AF">
                    <w:pPr>
                      <w:rPr>
                        <w:lang w:val="sr-Latn-CS"/>
                      </w:rPr>
                    </w:pPr>
                    <w:r>
                      <w:rPr>
                        <w:rFonts w:cs="Calibri"/>
                        <w:color w:val="000000"/>
                        <w:sz w:val="16"/>
                        <w:szCs w:val="16"/>
                        <w:lang w:val="sr-Latn-CS"/>
                      </w:rPr>
                      <w:t>Disposal of nonfinancial assets</w:t>
                    </w:r>
                  </w:p>
                </w:txbxContent>
              </v:textbox>
            </v:rect>
            <v:rect id="_x0000_s1216" style="position:absolute;left:4369;top:3220;width:284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36.1</w:t>
                    </w:r>
                  </w:p>
                </w:txbxContent>
              </v:textbox>
            </v:rect>
            <v:rect id="_x0000_s1217" style="position:absolute;left:5498;top:3220;width:284;height:425;mso-wrap-style:none" filled="f" stroked="f">
              <v:textbox style="mso-fit-shape-to-text:t" inset="0,0,0,0">
                <w:txbxContent>
                  <w:p w:rsidR="00B829AF" w:rsidRDefault="00B829AF"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52.6</w:t>
                    </w:r>
                  </w:p>
                </w:txbxContent>
              </v:textbox>
            </v:rect>
            <v:line id="_x0000_s1218" style="position:absolute" from="3531,0" to="3532,9" strokeweight="0"/>
            <v:rect id="_x0000_s1219" style="position:absolute;left:3531;width:10;height:9" fillcolor="black" stroked="f"/>
            <v:line id="_x0000_s1220" style="position:absolute" from="4680,0" to="4681,9" strokeweight="0"/>
            <v:rect id="_x0000_s1221" style="position:absolute;left:4680;width:10;height:9" fillcolor="black" stroked="f"/>
            <v:line id="_x0000_s1222" style="position:absolute" from="10,0" to="5798,1" strokeweight="0"/>
            <v:rect id="_x0000_s1223" style="position:absolute;left:10;width:5788;height:9" fillcolor="black" stroked="f"/>
            <v:line id="_x0000_s1224" style="position:absolute" from="3531,9" to="3532,114" strokeweight="0"/>
            <v:rect id="_x0000_s1225" style="position:absolute;left:3531;top:9;width:10;height:105" fillcolor="black" stroked="f"/>
            <v:line id="_x0000_s1226" style="position:absolute" from="4680,9" to="4681,114" strokeweight="0"/>
            <v:rect id="_x0000_s1227" style="position:absolute;left:4680;top:9;width:10;height:105" fillcolor="black" stroked="f"/>
            <v:rect id="_x0000_s1228" style="position:absolute;left:10;top:114;width:5809;height:19" fillcolor="black" stroked="f"/>
            <v:line id="_x0000_s1229" style="position:absolute" from="10,608" to="4670,609" strokeweight="0"/>
            <v:rect id="_x0000_s1230" style="position:absolute;left:10;top:608;width:4660;height:9" fillcolor="black" stroked="f"/>
            <v:line id="_x0000_s1231" style="position:absolute" from="4690,608" to="5798,609" strokeweight="0"/>
            <v:rect id="_x0000_s1232" style="position:absolute;left:4690;top:608;width:1108;height:9" fillcolor="black" stroked="f"/>
            <v:line id="_x0000_s1233" style="position:absolute" from="10,807" to="4670,808" strokeweight="0"/>
            <v:rect id="_x0000_s1234" style="position:absolute;left:10;top:807;width:4660;height:10" fillcolor="black" stroked="f"/>
            <v:line id="_x0000_s1235" style="position:absolute" from="4690,807" to="5798,808" strokeweight="0"/>
            <v:rect id="_x0000_s1236" style="position:absolute;left:4690;top:807;width:1108;height:10" fillcolor="black" stroked="f"/>
            <v:line id="_x0000_s1237" style="position:absolute" from="10,1007" to="4670,1008" strokeweight="0"/>
            <v:rect id="_x0000_s1238" style="position:absolute;left:10;top:1007;width:4660;height:9" fillcolor="black" stroked="f"/>
            <v:line id="_x0000_s1239" style="position:absolute" from="4690,1007" to="5798,1008" strokeweight="0"/>
            <v:rect id="_x0000_s1240" style="position:absolute;left:4690;top:1007;width:1108;height:9" fillcolor="black" stroked="f"/>
            <v:line id="_x0000_s1241" style="position:absolute" from="10,1206" to="4670,1207" strokeweight="0"/>
            <v:rect id="_x0000_s1242" style="position:absolute;left:10;top:1206;width:4660;height:10" fillcolor="black" stroked="f"/>
            <v:line id="_x0000_s1243" style="position:absolute" from="4690,1206" to="5798,1207" strokeweight="0"/>
            <v:rect id="_x0000_s1244" style="position:absolute;left:4690;top:1206;width:1108;height:10" fillcolor="black" stroked="f"/>
            <v:line id="_x0000_s1245" style="position:absolute" from="10,1406" to="4670,1407" strokeweight="0"/>
            <v:rect id="_x0000_s1246" style="position:absolute;left:10;top:1406;width:4660;height:9" fillcolor="black" stroked="f"/>
            <v:line id="_x0000_s1247" style="position:absolute" from="4690,1406" to="5798,1407" strokeweight="0"/>
            <v:rect id="_x0000_s1248" style="position:absolute;left:4690;top:1406;width:1108;height:9" fillcolor="black" stroked="f"/>
            <v:line id="_x0000_s1249" style="position:absolute" from="10,1605" to="4670,1606" strokeweight="0"/>
            <v:rect id="_x0000_s1250" style="position:absolute;left:10;top:1605;width:4660;height:10" fillcolor="black" stroked="f"/>
            <v:line id="_x0000_s1251" style="position:absolute" from="4690,1605" to="5798,1606" strokeweight="0"/>
            <v:rect id="_x0000_s1252" style="position:absolute;left:4690;top:1605;width:1108;height:10" fillcolor="black" stroked="f"/>
            <v:line id="_x0000_s1253" style="position:absolute" from="10,1805" to="4670,1806" strokeweight="0"/>
            <v:rect id="_x0000_s1254" style="position:absolute;left:10;top:1805;width:4660;height:9" fillcolor="black" stroked="f"/>
            <v:line id="_x0000_s1255" style="position:absolute" from="4690,1805" to="5798,1806" strokeweight="0"/>
            <v:rect id="_x0000_s1256" style="position:absolute;left:4690;top:1805;width:1108;height:9" fillcolor="black" stroked="f"/>
            <v:line id="_x0000_s1257" style="position:absolute" from="10,2004" to="4670,2005" strokeweight="0"/>
            <v:rect id="_x0000_s1258" style="position:absolute;left:10;top:2004;width:4660;height:9" fillcolor="black" stroked="f"/>
            <v:line id="_x0000_s1259" style="position:absolute" from="4690,2004" to="5798,2005" strokeweight="0"/>
            <v:rect id="_x0000_s1260" style="position:absolute;left:4690;top:2004;width:1108;height:9" fillcolor="black" stroked="f"/>
            <v:line id="_x0000_s1261" style="position:absolute" from="10,2203" to="4670,2204" strokeweight="0"/>
            <v:rect id="_x0000_s1262" style="position:absolute;left:10;top:2203;width:4660;height:10" fillcolor="black" stroked="f"/>
            <v:line id="_x0000_s1263" style="position:absolute" from="4690,2203" to="5798,2204" strokeweight="0"/>
            <v:rect id="_x0000_s1264" style="position:absolute;left:4690;top:2203;width:1108;height:10" fillcolor="black" stroked="f"/>
            <v:line id="_x0000_s1265" style="position:absolute" from="10,2403" to="4670,2404" strokeweight="0"/>
            <v:rect id="_x0000_s1266" style="position:absolute;left:10;top:2403;width:4660;height:9" fillcolor="black" stroked="f"/>
            <v:line id="_x0000_s1267" style="position:absolute" from="4690,2403" to="5798,2404" strokeweight="0"/>
            <v:rect id="_x0000_s1268" style="position:absolute;left:4690;top:2403;width:1108;height:9" fillcolor="black" stroked="f"/>
            <v:line id="_x0000_s1269" style="position:absolute" from="10,2602" to="4670,2603" strokeweight="0"/>
            <v:rect id="_x0000_s1270" style="position:absolute;left:10;top:2602;width:4660;height:10" fillcolor="black" stroked="f"/>
            <v:line id="_x0000_s1271" style="position:absolute" from="4690,2602" to="5798,2603" strokeweight="0"/>
            <v:rect id="_x0000_s1272" style="position:absolute;left:4690;top:2602;width:1108;height:10" fillcolor="black" stroked="f"/>
            <v:line id="_x0000_s1273" style="position:absolute" from="10,2802" to="4670,2803" strokeweight="0"/>
            <v:rect id="_x0000_s1274" style="position:absolute;left:10;top:2802;width:4660;height:9" fillcolor="black" stroked="f"/>
            <v:line id="_x0000_s1275" style="position:absolute" from="4690,2802" to="5798,2803" strokeweight="0"/>
            <v:rect id="_x0000_s1276" style="position:absolute;left:4690;top:2802;width:1108;height:9" fillcolor="black" stroked="f"/>
            <v:line id="_x0000_s1277" style="position:absolute" from="10,3001" to="4670,3002" strokeweight="0"/>
            <v:rect id="_x0000_s1278" style="position:absolute;left:10;top:3001;width:4660;height:10" fillcolor="black" stroked="f"/>
            <v:line id="_x0000_s1279" style="position:absolute" from="4690,3001" to="5798,3002" strokeweight="0"/>
            <v:rect id="_x0000_s1280" style="position:absolute;left:4690;top:3001;width:1108;height:10" fillcolor="black" stroked="f"/>
            <v:line id="_x0000_s1281" style="position:absolute" from="10,3201" to="4670,3202" strokeweight="0"/>
            <v:rect id="_x0000_s1282" style="position:absolute;left:10;top:3201;width:4660;height:9" fillcolor="black" stroked="f"/>
            <v:line id="_x0000_s1283" style="position:absolute" from="4690,3201" to="5798,3202" strokeweight="0"/>
            <v:rect id="_x0000_s1284" style="position:absolute;left:4690;top:3201;width:1108;height:9" fillcolor="black" stroked="f"/>
            <v:rect id="_x0000_s1285" style="position:absolute;left:-10;width:20;height:3419" fillcolor="black" stroked="f"/>
            <v:line id="_x0000_s1286" style="position:absolute" from="3531,133" to="3532,3400" strokeweight="0"/>
            <v:rect id="_x0000_s1287" style="position:absolute;left:3531;top:133;width:10;height:3267" fillcolor="black" stroked="f"/>
            <v:rect id="_x0000_s1288" style="position:absolute;left:4670;top:133;width:20;height:3286" fillcolor="black" stroked="f"/>
            <v:rect id="_x0000_s1289" style="position:absolute;left:5798;width:21;height:3419" fillcolor="black" stroked="f"/>
            <v:line id="_x0000_s1290" style="position:absolute" from="0,3419" to="1,3420" strokecolor="#dadcdd" strokeweight="0"/>
            <v:rect id="_x0000_s1291" style="position:absolute;top:3419;width:10;height:10" fillcolor="#dadcdd" stroked="f"/>
            <v:line id="_x0000_s1292" style="position:absolute" from="3531,3419" to="3532,3420" strokecolor="#dadcdd" strokeweight="0"/>
            <v:rect id="_x0000_s1293" style="position:absolute;left:3531;top:3419;width:10;height:10" fillcolor="#dadcdd" stroked="f"/>
            <v:line id="_x0000_s1294" style="position:absolute" from="4680,3419" to="4681,3420" strokecolor="#dadcdd" strokeweight="0"/>
            <v:rect id="_x0000_s1295" style="position:absolute;left:4680;top:3419;width:10;height:10" fillcolor="#dadcdd" stroked="f"/>
            <v:line id="_x0000_s1296" style="position:absolute" from="5809,3419" to="5810,3420" strokecolor="#dadcdd" strokeweight="0"/>
            <v:rect id="_x0000_s1297" style="position:absolute;left:5809;top:3419;width:10;height:10" fillcolor="#dadcdd" stroked="f"/>
            <v:line id="_x0000_s1298" style="position:absolute" from="5819,0" to="5820,1" strokeweight="0"/>
            <v:rect id="_x0000_s1299" style="position:absolute;left:5819;width:10;height:9" fillcolor="black" stroked="f"/>
            <v:line id="_x0000_s1300" style="position:absolute" from="5819,123" to="5820,124" strokeweight="0"/>
            <v:rect id="_x0000_s1301" style="position:absolute;left:5819;top:123;width:10;height:10" fillcolor="black" stroked="f"/>
            <v:line id="_x0000_s1302" style="position:absolute" from="5819,608" to="5820,609" strokeweight="0"/>
            <v:rect id="_x0000_s1303" style="position:absolute;left:5819;top:608;width:10;height:9" fillcolor="black" stroked="f"/>
            <v:line id="_x0000_s1304" style="position:absolute" from="5819,807" to="5820,808" strokeweight="0"/>
            <v:rect id="_x0000_s1305" style="position:absolute;left:5819;top:807;width:10;height:10" fillcolor="black" stroked="f"/>
            <v:line id="_x0000_s1306" style="position:absolute" from="5819,1007" to="5820,1008" strokeweight="0"/>
            <v:rect id="_x0000_s1307" style="position:absolute;left:5819;top:1007;width:10;height:9" fillcolor="black" stroked="f"/>
            <v:line id="_x0000_s1308" style="position:absolute" from="5819,1206" to="5820,1207" strokeweight="0"/>
            <v:rect id="_x0000_s1309" style="position:absolute;left:5819;top:1206;width:10;height:10" fillcolor="black" stroked="f"/>
            <v:line id="_x0000_s1310" style="position:absolute" from="5819,1406" to="5820,1407" strokeweight="0"/>
            <v:rect id="_x0000_s1311" style="position:absolute;left:5819;top:1406;width:10;height:9" fillcolor="black" stroked="f"/>
            <v:line id="_x0000_s1312" style="position:absolute" from="5819,1605" to="5820,1606" strokeweight="0"/>
            <v:rect id="_x0000_s1313" style="position:absolute;left:5819;top:1605;width:10;height:10" fillcolor="black" stroked="f"/>
            <v:line id="_x0000_s1314" style="position:absolute" from="5819,1805" to="5820,1806" strokeweight="0"/>
            <v:rect id="_x0000_s1315" style="position:absolute;left:5819;top:1805;width:10;height:9" fillcolor="black" stroked="f"/>
            <v:line id="_x0000_s1316" style="position:absolute" from="5819,2004" to="5820,2005" strokeweight="0"/>
            <v:rect id="_x0000_s1317" style="position:absolute;left:5819;top:2004;width:10;height:9" fillcolor="black" stroked="f"/>
            <v:line id="_x0000_s1318" style="position:absolute" from="5819,2203" to="5820,2204" strokeweight="0"/>
            <v:rect id="_x0000_s1319" style="position:absolute;left:5819;top:2203;width:10;height:10" fillcolor="black" stroked="f"/>
            <v:line id="_x0000_s1320" style="position:absolute" from="5819,2403" to="5820,2404" strokeweight="0"/>
            <v:rect id="_x0000_s1321" style="position:absolute;left:5819;top:2403;width:10;height:9" fillcolor="black" stroked="f"/>
            <v:line id="_x0000_s1322" style="position:absolute" from="5819,2602" to="5820,2603" strokeweight="0"/>
            <v:rect id="_x0000_s1323" style="position:absolute;left:5819;top:2602;width:10;height:10" fillcolor="black" stroked="f"/>
            <v:line id="_x0000_s1324" style="position:absolute" from="5819,2802" to="5820,2803" strokeweight="0"/>
            <v:rect id="_x0000_s1325" style="position:absolute;left:5819;top:2802;width:10;height:9" fillcolor="black" stroked="f"/>
            <v:line id="_x0000_s1326" style="position:absolute" from="5819,3001" to="5820,3002" strokeweight="0"/>
            <v:rect id="_x0000_s1327" style="position:absolute;left:5819;top:3001;width:10;height:10" fillcolor="black" stroked="f"/>
            <v:line id="_x0000_s1328" style="position:absolute" from="5819,3201" to="5820,3202" strokeweight="0"/>
            <v:rect id="_x0000_s1329" style="position:absolute;left:5819;top:3201;width:10;height:9" fillcolor="black" stroked="f"/>
            <v:rect id="_x0000_s1330" style="position:absolute;left:10;top:3400;width:5819;height:19" fillcolor="black" stroked="f"/>
            <v:shape id="_x0000_s1331" type="#_x0000_t75" style="position:absolute;left:3355;top:-171;width:176;height:162">
              <v:imagedata r:id="rId12" o:title="" croptop="6899f"/>
            </v:shape>
            <v:shape id="_x0000_s1332" type="#_x0000_t75" style="position:absolute;left:4504;top:-171;width:176;height:162">
              <v:imagedata r:id="rId12" o:title="" croptop="6899f"/>
            </v:shape>
            <v:shape id="_x0000_s1333" type="#_x0000_t75" style="position:absolute;left:5633;top:-171;width:176;height:162">
              <v:imagedata r:id="rId12" o:title="" croptop="6899f"/>
            </v:shape>
            <v:rect id="_x0000_s1334" style="position:absolute;left:5788;top:3391;width:21;height:19" fillcolor="#485db1" stroked="f"/>
            <v:rect id="_x0000_s1335" style="position:absolute;left:5798;top:3400;width:11;height:10" fillcolor="#485db1" stroked="f"/>
            <v:rect id="_x0000_s1336" style="position:absolute;left:5798;top:3400;width:11;height:10" fillcolor="#485db1" stroked="f"/>
            <v:rect id="_x0000_s1337" style="position:absolute;left:5767;top:3391;width:21;height:19" fillcolor="#485db1" stroked="f"/>
            <v:rect id="_x0000_s1338" style="position:absolute;left:5777;top:3400;width:11;height:10" fillcolor="#485db1" stroked="f"/>
            <v:rect id="_x0000_s1339" style="position:absolute;left:5777;top:3400;width:11;height:10" fillcolor="#485db1" stroked="f"/>
            <v:rect id="_x0000_s1340" style="position:absolute;left:5788;top:3372;width:21;height:19" fillcolor="#485db1" stroked="f"/>
            <v:rect id="_x0000_s1341" style="position:absolute;left:5798;top:3381;width:11;height:10" fillcolor="#485db1" stroked="f"/>
            <v:rect id="_x0000_s1342" style="position:absolute;left:5798;top:3381;width:11;height:10" fillcolor="#485db1" stroked="f"/>
            <w10:anchorlock/>
          </v:group>
        </w:pict>
      </w:r>
    </w:p>
    <w:p w:rsidR="00A97C31" w:rsidRPr="003B454C" w:rsidRDefault="00622566" w:rsidP="00403657">
      <w:pPr>
        <w:spacing w:line="240" w:lineRule="auto"/>
        <w:jc w:val="center"/>
        <w:rPr>
          <w:rFonts w:cs="Calibri"/>
          <w:i/>
          <w:iCs/>
          <w:lang w:val="en-GB"/>
        </w:rPr>
      </w:pPr>
      <w:r w:rsidRPr="003B454C">
        <w:rPr>
          <w:rFonts w:cs="Calibri"/>
          <w:i/>
          <w:iCs/>
          <w:lang w:val="en-GB"/>
        </w:rPr>
        <w:t xml:space="preserve">Source: </w:t>
      </w:r>
      <w:r w:rsidR="007E17D4" w:rsidRPr="003B454C">
        <w:rPr>
          <w:rFonts w:cs="Calibri"/>
          <w:i/>
          <w:iCs/>
          <w:lang w:val="en-GB"/>
        </w:rPr>
        <w:t>MAU</w:t>
      </w:r>
      <w:r w:rsidRPr="003B454C">
        <w:rPr>
          <w:rFonts w:cs="Calibri"/>
          <w:i/>
          <w:iCs/>
          <w:lang w:val="en-GB"/>
        </w:rPr>
        <w:t xml:space="preserve"> ITA BiH</w:t>
      </w:r>
    </w:p>
    <w:p w:rsidR="00A97C31" w:rsidRPr="003A78F3" w:rsidRDefault="00622566" w:rsidP="00403657">
      <w:pPr>
        <w:pStyle w:val="Heading3"/>
        <w:rPr>
          <w:rFonts w:ascii="Calibri" w:hAnsi="Calibri" w:cs="Calibri"/>
          <w:lang w:val="en-GB"/>
        </w:rPr>
      </w:pPr>
      <w:bookmarkStart w:id="9" w:name="_Toc445049554"/>
      <w:bookmarkStart w:id="10" w:name="_Toc473971987"/>
      <w:r w:rsidRPr="003A78F3">
        <w:rPr>
          <w:rFonts w:ascii="Calibri" w:hAnsi="Calibri" w:cs="Calibri"/>
          <w:lang w:val="en-GB"/>
        </w:rPr>
        <w:lastRenderedPageBreak/>
        <w:t>1.2 Communication between management of institutions and finance units</w:t>
      </w:r>
      <w:bookmarkEnd w:id="9"/>
      <w:bookmarkEnd w:id="10"/>
    </w:p>
    <w:p w:rsidR="00A97C31" w:rsidRPr="003A78F3" w:rsidRDefault="00A97C31" w:rsidP="00403657">
      <w:pPr>
        <w:spacing w:after="0" w:line="240" w:lineRule="auto"/>
        <w:jc w:val="both"/>
        <w:rPr>
          <w:rFonts w:cs="Calibri"/>
          <w:lang w:val="en-GB"/>
        </w:rPr>
      </w:pP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Communication between management of institutions and </w:t>
      </w:r>
      <w:r w:rsidR="007E17D4" w:rsidRPr="003A78F3">
        <w:rPr>
          <w:rFonts w:cs="Calibri"/>
          <w:lang w:val="en-GB"/>
        </w:rPr>
        <w:t xml:space="preserve">finance </w:t>
      </w:r>
      <w:r w:rsidRPr="003A78F3">
        <w:rPr>
          <w:rFonts w:cs="Calibri"/>
          <w:lang w:val="en-GB"/>
        </w:rPr>
        <w:t>ministries (</w:t>
      </w:r>
      <w:r w:rsidR="007E17D4" w:rsidRPr="003A78F3">
        <w:rPr>
          <w:rFonts w:cs="Calibri"/>
          <w:lang w:val="en-GB"/>
        </w:rPr>
        <w:t>sectors</w:t>
      </w:r>
      <w:r w:rsidRPr="003A78F3">
        <w:rPr>
          <w:rFonts w:cs="Calibri"/>
          <w:lang w:val="en-GB"/>
        </w:rPr>
        <w:t xml:space="preserve">, departments, services) should take place </w:t>
      </w:r>
      <w:r w:rsidR="007E17D4" w:rsidRPr="003A78F3">
        <w:rPr>
          <w:rFonts w:cs="Calibri"/>
          <w:lang w:val="en-GB"/>
        </w:rPr>
        <w:t>on an ongoing basis</w:t>
      </w:r>
      <w:r w:rsidRPr="003A78F3">
        <w:rPr>
          <w:rFonts w:cs="Calibri"/>
          <w:lang w:val="en-GB"/>
        </w:rPr>
        <w:t xml:space="preserve"> throughout the budget preparation process.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Since </w:t>
      </w:r>
      <w:r w:rsidR="001B50E2" w:rsidRPr="003A78F3">
        <w:rPr>
          <w:rFonts w:cs="Calibri"/>
          <w:lang w:val="en-GB"/>
        </w:rPr>
        <w:t>BFP</w:t>
      </w:r>
      <w:r w:rsidRPr="003A78F3">
        <w:rPr>
          <w:rFonts w:cs="Calibri"/>
          <w:lang w:val="en-GB"/>
        </w:rPr>
        <w:t xml:space="preserve"> is </w:t>
      </w:r>
      <w:r w:rsidR="00961DAA" w:rsidRPr="003A78F3">
        <w:rPr>
          <w:rFonts w:cs="Calibri"/>
          <w:lang w:val="en-GB"/>
        </w:rPr>
        <w:t>basically</w:t>
      </w:r>
      <w:r w:rsidRPr="003A78F3">
        <w:rPr>
          <w:rFonts w:cs="Calibri"/>
          <w:lang w:val="en-GB"/>
        </w:rPr>
        <w:t xml:space="preserve"> an </w:t>
      </w:r>
      <w:r w:rsidR="00961DAA" w:rsidRPr="003A78F3">
        <w:rPr>
          <w:rFonts w:cs="Calibri"/>
          <w:lang w:val="en-GB"/>
        </w:rPr>
        <w:t>estimate</w:t>
      </w:r>
      <w:r w:rsidRPr="003A78F3">
        <w:rPr>
          <w:rFonts w:cs="Calibri"/>
          <w:lang w:val="en-GB"/>
        </w:rPr>
        <w:t xml:space="preserve"> of the resources </w:t>
      </w:r>
      <w:r w:rsidR="003B454C">
        <w:rPr>
          <w:rFonts w:cs="Calibri"/>
          <w:lang w:val="en-GB"/>
        </w:rPr>
        <w:t xml:space="preserve">that are </w:t>
      </w:r>
      <w:r w:rsidRPr="003A78F3">
        <w:rPr>
          <w:rFonts w:cs="Calibri"/>
          <w:lang w:val="en-GB"/>
        </w:rPr>
        <w:t xml:space="preserve">necessary to achieve strategic and operational objectives of the budget </w:t>
      </w:r>
      <w:r w:rsidR="00961DAA" w:rsidRPr="003A78F3">
        <w:rPr>
          <w:rFonts w:cs="Calibri"/>
          <w:lang w:val="en-GB"/>
        </w:rPr>
        <w:t>beneficiaries</w:t>
      </w:r>
      <w:r w:rsidRPr="003A78F3">
        <w:rPr>
          <w:rFonts w:cs="Calibri"/>
          <w:lang w:val="en-GB"/>
        </w:rPr>
        <w:t xml:space="preserve">, it is </w:t>
      </w:r>
      <w:r w:rsidR="00961DAA" w:rsidRPr="003A78F3">
        <w:rPr>
          <w:rFonts w:cs="Calibri"/>
          <w:lang w:val="en-GB"/>
        </w:rPr>
        <w:t>essential that</w:t>
      </w:r>
      <w:r w:rsidRPr="003A78F3">
        <w:rPr>
          <w:rFonts w:cs="Calibri"/>
          <w:lang w:val="en-GB"/>
        </w:rPr>
        <w:t xml:space="preserve"> </w:t>
      </w:r>
      <w:r w:rsidR="00961DAA" w:rsidRPr="003A78F3">
        <w:rPr>
          <w:rFonts w:cs="Calibri"/>
          <w:lang w:val="en-GB"/>
        </w:rPr>
        <w:t xml:space="preserve">all managers within institutions participate </w:t>
      </w:r>
      <w:r w:rsidRPr="003A78F3">
        <w:rPr>
          <w:rFonts w:cs="Calibri"/>
          <w:lang w:val="en-GB"/>
        </w:rPr>
        <w:t>active</w:t>
      </w:r>
      <w:r w:rsidR="00961DAA" w:rsidRPr="003A78F3">
        <w:rPr>
          <w:rFonts w:cs="Calibri"/>
          <w:lang w:val="en-GB"/>
        </w:rPr>
        <w:t xml:space="preserve">ly from the BFP </w:t>
      </w:r>
      <w:r w:rsidRPr="003A78F3">
        <w:rPr>
          <w:rFonts w:cs="Calibri"/>
          <w:lang w:val="en-GB"/>
        </w:rPr>
        <w:t xml:space="preserve">adoption phase. Accordingly, communication between </w:t>
      </w:r>
      <w:r w:rsidR="00A555F4" w:rsidRPr="003A78F3">
        <w:rPr>
          <w:rFonts w:cs="Calibri"/>
          <w:lang w:val="en-GB"/>
        </w:rPr>
        <w:t xml:space="preserve">finance </w:t>
      </w:r>
      <w:r w:rsidR="00A555F4">
        <w:rPr>
          <w:rFonts w:cs="Calibri"/>
          <w:lang w:val="en-GB"/>
        </w:rPr>
        <w:t xml:space="preserve">personnel </w:t>
      </w:r>
      <w:r w:rsidRPr="003A78F3">
        <w:rPr>
          <w:rFonts w:cs="Calibri"/>
          <w:lang w:val="en-GB"/>
        </w:rPr>
        <w:t xml:space="preserve">at all levels of government and budget </w:t>
      </w:r>
      <w:r w:rsidR="00961DAA" w:rsidRPr="003A78F3">
        <w:rPr>
          <w:rFonts w:cs="Calibri"/>
          <w:lang w:val="en-GB"/>
        </w:rPr>
        <w:t>beneficiaries</w:t>
      </w:r>
      <w:r w:rsidRPr="003A78F3">
        <w:rPr>
          <w:rFonts w:cs="Calibri"/>
          <w:lang w:val="en-GB"/>
        </w:rPr>
        <w:t xml:space="preserve"> need</w:t>
      </w:r>
      <w:r w:rsidR="00961DAA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 to </w:t>
      </w:r>
      <w:r w:rsidR="00961DAA" w:rsidRPr="003A78F3">
        <w:rPr>
          <w:rFonts w:cs="Calibri"/>
          <w:lang w:val="en-GB"/>
        </w:rPr>
        <w:t>start as early as the BFP</w:t>
      </w:r>
      <w:r w:rsidRPr="003A78F3">
        <w:rPr>
          <w:rFonts w:cs="Calibri"/>
          <w:lang w:val="en-GB"/>
        </w:rPr>
        <w:t xml:space="preserve"> preparation </w:t>
      </w:r>
      <w:r w:rsidR="00961DAA" w:rsidRPr="003A78F3">
        <w:rPr>
          <w:rFonts w:cs="Calibri"/>
          <w:lang w:val="en-GB"/>
        </w:rPr>
        <w:t>phase</w:t>
      </w:r>
      <w:r w:rsidRPr="003A78F3">
        <w:rPr>
          <w:rFonts w:cs="Calibri"/>
          <w:lang w:val="en-GB"/>
        </w:rPr>
        <w:t xml:space="preserve">, </w:t>
      </w:r>
      <w:r w:rsidR="00961DAA" w:rsidRPr="003A78F3">
        <w:rPr>
          <w:rFonts w:cs="Calibri"/>
          <w:lang w:val="en-GB"/>
        </w:rPr>
        <w:t>i.e.</w:t>
      </w:r>
      <w:r w:rsidRPr="003A78F3">
        <w:rPr>
          <w:rFonts w:cs="Calibri"/>
          <w:lang w:val="en-GB"/>
        </w:rPr>
        <w:t xml:space="preserve"> from budget Instruction No. 1, </w:t>
      </w:r>
      <w:r w:rsidR="00961DAA" w:rsidRPr="003A78F3">
        <w:rPr>
          <w:rFonts w:cs="Calibri"/>
          <w:lang w:val="en-GB"/>
        </w:rPr>
        <w:t>to</w:t>
      </w:r>
      <w:r w:rsidRPr="003A78F3">
        <w:rPr>
          <w:rFonts w:cs="Calibri"/>
          <w:lang w:val="en-GB"/>
        </w:rPr>
        <w:t xml:space="preserve"> Instruction No. 2, to the adoption of the budget.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However, according to data collected from the surveyed institutions that are the subject of this analysis, it is still evident that some budget </w:t>
      </w:r>
      <w:r w:rsidR="00961DAA" w:rsidRPr="003A78F3">
        <w:rPr>
          <w:rFonts w:cs="Calibri"/>
          <w:lang w:val="en-GB"/>
        </w:rPr>
        <w:t>beneficiaries</w:t>
      </w:r>
      <w:r w:rsidRPr="003A78F3">
        <w:rPr>
          <w:rFonts w:cs="Calibri"/>
          <w:lang w:val="en-GB"/>
        </w:rPr>
        <w:t xml:space="preserve"> </w:t>
      </w:r>
      <w:r w:rsidR="00961DAA" w:rsidRPr="003A78F3">
        <w:rPr>
          <w:rFonts w:cs="Calibri"/>
          <w:lang w:val="en-GB"/>
        </w:rPr>
        <w:t>leave it</w:t>
      </w:r>
      <w:r w:rsidRPr="003A78F3">
        <w:rPr>
          <w:rFonts w:cs="Calibri"/>
          <w:lang w:val="en-GB"/>
        </w:rPr>
        <w:t xml:space="preserve"> to the employees of the Ministries of Finance </w:t>
      </w:r>
      <w:r w:rsidR="00961DAA" w:rsidRPr="003A78F3">
        <w:rPr>
          <w:rFonts w:cs="Calibri"/>
          <w:lang w:val="en-GB"/>
        </w:rPr>
        <w:t>to “</w:t>
      </w:r>
      <w:r w:rsidRPr="003A78F3">
        <w:rPr>
          <w:rFonts w:cs="Calibri"/>
          <w:lang w:val="en-GB"/>
        </w:rPr>
        <w:t>represent</w:t>
      </w:r>
      <w:r w:rsidR="00961DAA" w:rsidRPr="003A78F3">
        <w:rPr>
          <w:rFonts w:cs="Calibri"/>
          <w:lang w:val="en-GB"/>
        </w:rPr>
        <w:t>” them</w:t>
      </w:r>
      <w:r w:rsidRPr="003A78F3">
        <w:rPr>
          <w:rFonts w:cs="Calibri"/>
          <w:lang w:val="en-GB"/>
        </w:rPr>
        <w:t xml:space="preserve">, </w:t>
      </w:r>
      <w:r w:rsidR="00961DAA" w:rsidRPr="003A78F3">
        <w:rPr>
          <w:rFonts w:cs="Calibri"/>
          <w:lang w:val="en-GB"/>
        </w:rPr>
        <w:t>i.e.</w:t>
      </w:r>
      <w:r w:rsidRPr="003A78F3">
        <w:rPr>
          <w:rFonts w:cs="Calibri"/>
          <w:lang w:val="en-GB"/>
        </w:rPr>
        <w:t xml:space="preserve"> to prepare budget proposal</w:t>
      </w:r>
      <w:r w:rsidR="00961DAA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 for their organi</w:t>
      </w:r>
      <w:r w:rsidR="00961DAA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>ational unit</w:t>
      </w:r>
      <w:r w:rsidR="00961DAA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. </w:t>
      </w:r>
      <w:r w:rsidR="00961DAA" w:rsidRPr="003A78F3">
        <w:rPr>
          <w:rFonts w:cs="Calibri"/>
          <w:lang w:val="en-GB"/>
        </w:rPr>
        <w:t>O</w:t>
      </w:r>
      <w:r w:rsidRPr="003A78F3">
        <w:rPr>
          <w:rFonts w:cs="Calibri"/>
          <w:lang w:val="en-GB"/>
        </w:rPr>
        <w:t>nly 27% of the surveyed institutions provided data on their planned and actual expenditures for 2014.</w:t>
      </w:r>
    </w:p>
    <w:p w:rsidR="00A97C31" w:rsidRPr="003A78F3" w:rsidRDefault="00807313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Law on Budgets in FBiH has created </w:t>
      </w:r>
      <w:r w:rsidRPr="003A78F3">
        <w:rPr>
          <w:rFonts w:cs="Calibri"/>
          <w:lang w:val="en-GB"/>
        </w:rPr>
        <w:t>preconditions</w:t>
      </w:r>
      <w:r w:rsidR="00622566" w:rsidRPr="003A78F3">
        <w:rPr>
          <w:rFonts w:cs="Calibri"/>
          <w:lang w:val="en-GB"/>
        </w:rPr>
        <w:t xml:space="preserve"> for the establishment of the Fiscal Coordination Body</w:t>
      </w:r>
      <w:r w:rsidRPr="003A78F3">
        <w:rPr>
          <w:rFonts w:cs="Calibri"/>
          <w:lang w:val="en-GB"/>
        </w:rPr>
        <w:t>. In</w:t>
      </w:r>
      <w:r w:rsidR="00622566" w:rsidRPr="003A78F3">
        <w:rPr>
          <w:rFonts w:cs="Calibri"/>
          <w:lang w:val="en-GB"/>
        </w:rPr>
        <w:t xml:space="preserve"> addition to other </w:t>
      </w:r>
      <w:r w:rsidRPr="003A78F3">
        <w:rPr>
          <w:rFonts w:cs="Calibri"/>
          <w:lang w:val="en-GB"/>
        </w:rPr>
        <w:t>competences</w:t>
      </w:r>
      <w:r w:rsidR="00622566" w:rsidRPr="003A78F3">
        <w:rPr>
          <w:rFonts w:cs="Calibri"/>
          <w:lang w:val="en-GB"/>
        </w:rPr>
        <w:t xml:space="preserve"> and responsibilities</w:t>
      </w:r>
      <w:r w:rsidRPr="003A78F3">
        <w:rPr>
          <w:rFonts w:cs="Calibri"/>
          <w:lang w:val="en-GB"/>
        </w:rPr>
        <w:t>,</w:t>
      </w:r>
      <w:r w:rsidR="00622566" w:rsidRPr="003A78F3">
        <w:rPr>
          <w:rFonts w:cs="Calibri"/>
          <w:lang w:val="en-GB"/>
        </w:rPr>
        <w:t xml:space="preserve"> </w:t>
      </w:r>
      <w:r w:rsidR="00404A4B" w:rsidRPr="003A78F3">
        <w:rPr>
          <w:rFonts w:cs="Calibri"/>
          <w:lang w:val="en-GB"/>
        </w:rPr>
        <w:t xml:space="preserve">this body would </w:t>
      </w:r>
      <w:r w:rsidRPr="003A78F3">
        <w:rPr>
          <w:rFonts w:cs="Calibri"/>
          <w:lang w:val="en-GB"/>
        </w:rPr>
        <w:t>be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>in charge of coordinating</w:t>
      </w:r>
      <w:r w:rsidR="00622566" w:rsidRPr="003A78F3">
        <w:rPr>
          <w:rFonts w:cs="Calibri"/>
          <w:lang w:val="en-GB"/>
        </w:rPr>
        <w:t xml:space="preserve"> activities </w:t>
      </w:r>
      <w:r w:rsidRPr="003A78F3">
        <w:rPr>
          <w:rFonts w:cs="Calibri"/>
          <w:lang w:val="en-GB"/>
        </w:rPr>
        <w:t>to ensure compliance with</w:t>
      </w:r>
      <w:r w:rsidR="00622566" w:rsidRPr="003A78F3">
        <w:rPr>
          <w:rFonts w:cs="Calibri"/>
          <w:lang w:val="en-GB"/>
        </w:rPr>
        <w:t xml:space="preserve"> budget calendars </w:t>
      </w:r>
      <w:r w:rsidR="00404A4B" w:rsidRPr="003A78F3">
        <w:rPr>
          <w:rFonts w:cs="Calibri"/>
          <w:lang w:val="en-GB"/>
        </w:rPr>
        <w:t>during</w:t>
      </w:r>
      <w:r w:rsidR="00622566" w:rsidRPr="003A78F3">
        <w:rPr>
          <w:rFonts w:cs="Calibri"/>
          <w:lang w:val="en-GB"/>
        </w:rPr>
        <w:t xml:space="preserve"> preparation, adoption, execution and audit of the budget</w:t>
      </w:r>
      <w:r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>. This body has not yet been established in FBiH.</w:t>
      </w:r>
    </w:p>
    <w:p w:rsidR="00A97C31" w:rsidRPr="003A78F3" w:rsidRDefault="00404A4B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Law on Financing </w:t>
      </w:r>
      <w:r w:rsidRPr="003A78F3">
        <w:rPr>
          <w:rFonts w:cs="Calibri"/>
          <w:lang w:val="en-GB"/>
        </w:rPr>
        <w:t>the</w:t>
      </w:r>
      <w:r w:rsidR="00622566" w:rsidRPr="003A78F3">
        <w:rPr>
          <w:rFonts w:cs="Calibri"/>
          <w:lang w:val="en-GB"/>
        </w:rPr>
        <w:t xml:space="preserve"> Institutions of BiH provides that </w:t>
      </w:r>
      <w:r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finance officer of each budget </w:t>
      </w:r>
      <w:r w:rsidRPr="003A78F3">
        <w:rPr>
          <w:rFonts w:cs="Calibri"/>
          <w:lang w:val="en-GB"/>
        </w:rPr>
        <w:t>beneficiary</w:t>
      </w:r>
      <w:r w:rsidR="00622566" w:rsidRPr="003A78F3">
        <w:rPr>
          <w:rFonts w:cs="Calibri"/>
          <w:lang w:val="en-GB"/>
        </w:rPr>
        <w:t xml:space="preserve"> </w:t>
      </w:r>
      <w:r w:rsidR="00122025">
        <w:rPr>
          <w:rFonts w:cs="Calibri"/>
          <w:lang w:val="en-GB"/>
        </w:rPr>
        <w:t>reports directly</w:t>
      </w:r>
      <w:r w:rsidR="00622566" w:rsidRPr="003A78F3">
        <w:rPr>
          <w:rFonts w:cs="Calibri"/>
          <w:lang w:val="en-GB"/>
        </w:rPr>
        <w:t xml:space="preserve"> to the head of the budget </w:t>
      </w:r>
      <w:r w:rsidR="008B3C2C" w:rsidRPr="003A78F3">
        <w:rPr>
          <w:rFonts w:cs="Calibri"/>
          <w:lang w:val="en-GB"/>
        </w:rPr>
        <w:t>beneficiary</w:t>
      </w:r>
      <w:r w:rsidR="00622566" w:rsidRPr="003A78F3">
        <w:rPr>
          <w:rFonts w:cs="Calibri"/>
          <w:lang w:val="en-GB"/>
        </w:rPr>
        <w:t xml:space="preserve"> and performs</w:t>
      </w:r>
      <w:r w:rsidR="008B3C2C" w:rsidRPr="003A78F3">
        <w:rPr>
          <w:rFonts w:cs="Calibri"/>
          <w:lang w:val="en-GB"/>
        </w:rPr>
        <w:t xml:space="preserve"> such tasks as</w:t>
      </w:r>
      <w:r w:rsidR="00622566" w:rsidRPr="003A78F3">
        <w:rPr>
          <w:rFonts w:cs="Calibri"/>
          <w:lang w:val="en-GB"/>
        </w:rPr>
        <w:t xml:space="preserve"> financial planning, budget preparation and execution of the </w:t>
      </w:r>
      <w:r w:rsidR="008B3C2C" w:rsidRPr="003A78F3">
        <w:rPr>
          <w:rFonts w:cs="Calibri"/>
          <w:lang w:val="en-GB"/>
        </w:rPr>
        <w:t xml:space="preserve">budget of the </w:t>
      </w:r>
      <w:r w:rsidR="00622566" w:rsidRPr="003A78F3">
        <w:rPr>
          <w:rFonts w:cs="Calibri"/>
          <w:lang w:val="en-GB"/>
        </w:rPr>
        <w:t xml:space="preserve">given budget </w:t>
      </w:r>
      <w:r w:rsidR="008B3C2C" w:rsidRPr="003A78F3">
        <w:rPr>
          <w:rFonts w:cs="Calibri"/>
          <w:lang w:val="en-GB"/>
        </w:rPr>
        <w:t>beneficiary</w:t>
      </w:r>
      <w:r w:rsidR="00622566" w:rsidRPr="003A78F3">
        <w:rPr>
          <w:rFonts w:cs="Calibri"/>
          <w:lang w:val="en-GB"/>
        </w:rPr>
        <w:t xml:space="preserve">. </w:t>
      </w:r>
      <w:r w:rsidR="008B3C2C" w:rsidRPr="003A78F3">
        <w:rPr>
          <w:rFonts w:cs="Calibri"/>
          <w:lang w:val="en-GB"/>
        </w:rPr>
        <w:t>Additionally</w:t>
      </w:r>
      <w:r w:rsidR="00622566" w:rsidRPr="003A78F3">
        <w:rPr>
          <w:rFonts w:cs="Calibri"/>
          <w:lang w:val="en-GB"/>
        </w:rPr>
        <w:t>, th</w:t>
      </w:r>
      <w:r w:rsidR="008B3C2C" w:rsidRPr="003A78F3">
        <w:rPr>
          <w:rFonts w:cs="Calibri"/>
          <w:lang w:val="en-GB"/>
        </w:rPr>
        <w:t>is</w:t>
      </w:r>
      <w:r w:rsidR="00622566" w:rsidRPr="003A78F3">
        <w:rPr>
          <w:rFonts w:cs="Calibri"/>
          <w:lang w:val="en-GB"/>
        </w:rPr>
        <w:t xml:space="preserve"> officer is responsible for establishing and maintaining </w:t>
      </w:r>
      <w:r w:rsidR="00AB2EB6" w:rsidRPr="003A78F3">
        <w:rPr>
          <w:rFonts w:cs="Calibri"/>
          <w:lang w:val="en-GB"/>
        </w:rPr>
        <w:t>appropriate</w:t>
      </w:r>
      <w:r w:rsidR="00622566" w:rsidRPr="003A78F3">
        <w:rPr>
          <w:rFonts w:cs="Calibri"/>
          <w:lang w:val="en-GB"/>
        </w:rPr>
        <w:t xml:space="preserve"> systems </w:t>
      </w:r>
      <w:r w:rsidR="008B3C2C" w:rsidRPr="003A78F3">
        <w:rPr>
          <w:rFonts w:cs="Calibri"/>
          <w:lang w:val="en-GB"/>
        </w:rPr>
        <w:t xml:space="preserve">for the management and </w:t>
      </w:r>
      <w:r w:rsidR="00622566" w:rsidRPr="003A78F3">
        <w:rPr>
          <w:rFonts w:cs="Calibri"/>
          <w:lang w:val="en-GB"/>
        </w:rPr>
        <w:t xml:space="preserve">accounting control </w:t>
      </w:r>
      <w:r w:rsidR="008B3C2C" w:rsidRPr="003A78F3">
        <w:rPr>
          <w:rFonts w:cs="Calibri"/>
          <w:lang w:val="en-GB"/>
        </w:rPr>
        <w:t>of</w:t>
      </w:r>
      <w:r w:rsidR="00622566" w:rsidRPr="003A78F3">
        <w:rPr>
          <w:rFonts w:cs="Calibri"/>
          <w:lang w:val="en-GB"/>
        </w:rPr>
        <w:t xml:space="preserve"> the approved budget and the allocation of budget funds, approved cash flow plans and operating budgets, revenues, all expenditures and payments</w:t>
      </w:r>
      <w:r w:rsidR="008B3C2C" w:rsidRPr="003A78F3">
        <w:rPr>
          <w:rFonts w:cs="Calibri"/>
          <w:lang w:val="en-GB"/>
        </w:rPr>
        <w:t>, as well as for</w:t>
      </w:r>
      <w:r w:rsidR="00622566" w:rsidRPr="003A78F3">
        <w:rPr>
          <w:rFonts w:cs="Calibri"/>
          <w:lang w:val="en-GB"/>
        </w:rPr>
        <w:t xml:space="preserve"> implementation of audit recommendations.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RS has not adopted a law on fiscal </w:t>
      </w:r>
      <w:r w:rsidR="00AB2EB6" w:rsidRPr="003A78F3">
        <w:rPr>
          <w:rFonts w:cs="Calibri"/>
          <w:lang w:val="en-GB"/>
        </w:rPr>
        <w:t>accountability. This law is expected to</w:t>
      </w:r>
      <w:r w:rsidRPr="003A78F3">
        <w:rPr>
          <w:rFonts w:cs="Calibri"/>
          <w:lang w:val="en-GB"/>
        </w:rPr>
        <w:t xml:space="preserve"> be adopted in 2015.</w:t>
      </w:r>
    </w:p>
    <w:p w:rsidR="00A97C31" w:rsidRPr="003A78F3" w:rsidRDefault="00622566" w:rsidP="00403657">
      <w:pPr>
        <w:pStyle w:val="Heading3"/>
        <w:rPr>
          <w:rFonts w:ascii="Calibri" w:hAnsi="Calibri" w:cs="Calibri"/>
          <w:lang w:val="en-GB"/>
        </w:rPr>
      </w:pPr>
      <w:bookmarkStart w:id="11" w:name="_Toc445049555"/>
      <w:bookmarkStart w:id="12" w:name="_Toc473971988"/>
      <w:r w:rsidRPr="003A78F3">
        <w:rPr>
          <w:rFonts w:ascii="Calibri" w:hAnsi="Calibri" w:cs="Calibri"/>
          <w:lang w:val="en-GB"/>
        </w:rPr>
        <w:t xml:space="preserve">1.3 </w:t>
      </w:r>
      <w:r w:rsidR="00AB2EB6" w:rsidRPr="003A78F3">
        <w:rPr>
          <w:rFonts w:ascii="Calibri" w:hAnsi="Calibri" w:cs="Calibri"/>
          <w:lang w:val="en-GB"/>
        </w:rPr>
        <w:t>I</w:t>
      </w:r>
      <w:r w:rsidRPr="003A78F3">
        <w:rPr>
          <w:rFonts w:ascii="Calibri" w:hAnsi="Calibri" w:cs="Calibri"/>
          <w:lang w:val="en-GB"/>
        </w:rPr>
        <w:t>ntroduction of program</w:t>
      </w:r>
      <w:r w:rsidR="00AB2EB6" w:rsidRPr="003A78F3">
        <w:rPr>
          <w:rFonts w:ascii="Calibri" w:hAnsi="Calibri" w:cs="Calibri"/>
          <w:lang w:val="en-GB"/>
        </w:rPr>
        <w:t>me-based</w:t>
      </w:r>
      <w:r w:rsidRPr="003A78F3">
        <w:rPr>
          <w:rFonts w:ascii="Calibri" w:hAnsi="Calibri" w:cs="Calibri"/>
          <w:lang w:val="en-GB"/>
        </w:rPr>
        <w:t xml:space="preserve"> budgeting in public administration in BiH</w:t>
      </w:r>
      <w:bookmarkEnd w:id="11"/>
      <w:bookmarkEnd w:id="12"/>
    </w:p>
    <w:p w:rsidR="00051461" w:rsidRPr="003A78F3" w:rsidRDefault="00051461" w:rsidP="00403657">
      <w:pPr>
        <w:spacing w:after="0" w:line="240" w:lineRule="auto"/>
        <w:jc w:val="both"/>
        <w:rPr>
          <w:rFonts w:cs="Calibri"/>
          <w:lang w:val="en-GB"/>
        </w:rPr>
      </w:pP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Technical requirements for the introduction of program</w:t>
      </w:r>
      <w:r w:rsidR="00AB2EB6" w:rsidRPr="003A78F3">
        <w:rPr>
          <w:rFonts w:cs="Calibri"/>
          <w:lang w:val="en-GB"/>
        </w:rPr>
        <w:t>me-based</w:t>
      </w:r>
      <w:r w:rsidRPr="003A78F3">
        <w:rPr>
          <w:rFonts w:cs="Calibri"/>
          <w:lang w:val="en-GB"/>
        </w:rPr>
        <w:t xml:space="preserve"> budgeting in the planning phase </w:t>
      </w:r>
      <w:r w:rsidR="004E0C49" w:rsidRPr="003A78F3">
        <w:rPr>
          <w:rFonts w:cs="Calibri"/>
          <w:lang w:val="en-GB"/>
        </w:rPr>
        <w:t>at</w:t>
      </w:r>
      <w:r w:rsidRPr="003A78F3">
        <w:rPr>
          <w:rFonts w:cs="Calibri"/>
          <w:lang w:val="en-GB"/>
        </w:rPr>
        <w:t xml:space="preserve"> all four levels of government </w:t>
      </w:r>
      <w:r w:rsidR="00AB2EB6" w:rsidRPr="003A78F3">
        <w:rPr>
          <w:rFonts w:cs="Calibri"/>
          <w:lang w:val="en-GB"/>
        </w:rPr>
        <w:t>have been</w:t>
      </w:r>
      <w:r w:rsidRPr="003A78F3">
        <w:rPr>
          <w:rFonts w:cs="Calibri"/>
          <w:lang w:val="en-GB"/>
        </w:rPr>
        <w:t xml:space="preserve"> </w:t>
      </w:r>
      <w:r w:rsidR="00AB2EB6" w:rsidRPr="003A78F3">
        <w:rPr>
          <w:rFonts w:cs="Calibri"/>
          <w:lang w:val="en-GB"/>
        </w:rPr>
        <w:t>fulfilled through implementation of</w:t>
      </w:r>
      <w:r w:rsidRPr="003A78F3">
        <w:rPr>
          <w:rFonts w:cs="Calibri"/>
          <w:lang w:val="en-GB"/>
        </w:rPr>
        <w:t xml:space="preserve"> BPMIS. </w:t>
      </w:r>
      <w:r w:rsidR="00122025">
        <w:rPr>
          <w:rFonts w:cs="Calibri"/>
          <w:lang w:val="en-GB"/>
        </w:rPr>
        <w:t>Once</w:t>
      </w:r>
      <w:r w:rsidR="00AB2EB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>the technical requirements</w:t>
      </w:r>
      <w:r w:rsidR="00122025">
        <w:rPr>
          <w:rFonts w:cs="Calibri"/>
          <w:lang w:val="en-GB"/>
        </w:rPr>
        <w:t xml:space="preserve"> have been fulfilled</w:t>
      </w:r>
      <w:r w:rsidR="00AB2EB6" w:rsidRPr="003A78F3">
        <w:rPr>
          <w:rFonts w:cs="Calibri"/>
          <w:lang w:val="en-GB"/>
        </w:rPr>
        <w:t>, it is necessary</w:t>
      </w:r>
      <w:r w:rsidRPr="003A78F3">
        <w:rPr>
          <w:rFonts w:cs="Calibri"/>
          <w:lang w:val="en-GB"/>
        </w:rPr>
        <w:t xml:space="preserve"> to work towards improving the existing program</w:t>
      </w:r>
      <w:r w:rsidR="004E0C49" w:rsidRPr="003A78F3">
        <w:rPr>
          <w:rFonts w:cs="Calibri"/>
          <w:lang w:val="en-GB"/>
        </w:rPr>
        <w:t>me</w:t>
      </w:r>
      <w:r w:rsidRPr="003A78F3">
        <w:rPr>
          <w:rFonts w:cs="Calibri"/>
          <w:lang w:val="en-GB"/>
        </w:rPr>
        <w:t xml:space="preserve"> formats, </w:t>
      </w:r>
      <w:r w:rsidR="004E0C49" w:rsidRPr="003A78F3">
        <w:rPr>
          <w:rFonts w:cs="Calibri"/>
          <w:lang w:val="en-GB"/>
        </w:rPr>
        <w:t>facilitating</w:t>
      </w:r>
      <w:r w:rsidRPr="003A78F3">
        <w:rPr>
          <w:rFonts w:cs="Calibri"/>
          <w:lang w:val="en-GB"/>
        </w:rPr>
        <w:t xml:space="preserve"> better integration with the strategic objectives, and monitoring and keeping records of expenditures </w:t>
      </w:r>
      <w:r w:rsidR="00CC4096">
        <w:rPr>
          <w:rFonts w:cs="Calibri"/>
          <w:lang w:val="en-GB"/>
        </w:rPr>
        <w:t>by</w:t>
      </w:r>
      <w:r w:rsidRPr="003A78F3">
        <w:rPr>
          <w:rFonts w:cs="Calibri"/>
          <w:lang w:val="en-GB"/>
        </w:rPr>
        <w:t xml:space="preserve"> individual program</w:t>
      </w:r>
      <w:r w:rsidR="004E0C49" w:rsidRPr="003A78F3">
        <w:rPr>
          <w:rFonts w:cs="Calibri"/>
          <w:lang w:val="en-GB"/>
        </w:rPr>
        <w:t>me</w:t>
      </w:r>
      <w:r w:rsidRPr="003A78F3">
        <w:rPr>
          <w:rFonts w:cs="Calibri"/>
          <w:lang w:val="en-GB"/>
        </w:rPr>
        <w:t>s.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The introduction of program</w:t>
      </w:r>
      <w:r w:rsidR="004E0C49" w:rsidRPr="003A78F3">
        <w:rPr>
          <w:rFonts w:cs="Calibri"/>
          <w:lang w:val="en-GB"/>
        </w:rPr>
        <w:t>me-based</w:t>
      </w:r>
      <w:r w:rsidRPr="003A78F3">
        <w:rPr>
          <w:rFonts w:cs="Calibri"/>
          <w:lang w:val="en-GB"/>
        </w:rPr>
        <w:t xml:space="preserve"> budgeting </w:t>
      </w:r>
      <w:r w:rsidR="004E0C49" w:rsidRPr="003A78F3">
        <w:rPr>
          <w:rFonts w:cs="Calibri"/>
          <w:lang w:val="en-GB"/>
        </w:rPr>
        <w:t>also leads to</w:t>
      </w:r>
      <w:r w:rsidRPr="003A78F3">
        <w:rPr>
          <w:rFonts w:cs="Calibri"/>
          <w:lang w:val="en-GB"/>
        </w:rPr>
        <w:t xml:space="preserve"> </w:t>
      </w:r>
      <w:r w:rsidR="004C4564" w:rsidRPr="003A78F3">
        <w:rPr>
          <w:rFonts w:cs="Calibri"/>
          <w:lang w:val="en-GB"/>
        </w:rPr>
        <w:t>enhancing</w:t>
      </w:r>
      <w:r w:rsidRPr="003A78F3">
        <w:rPr>
          <w:rFonts w:cs="Calibri"/>
          <w:lang w:val="en-GB"/>
        </w:rPr>
        <w:t xml:space="preserve"> and strengthening </w:t>
      </w:r>
      <w:r w:rsidR="004E0C49" w:rsidRPr="003A78F3">
        <w:rPr>
          <w:rFonts w:cs="Calibri"/>
          <w:lang w:val="en-GB"/>
        </w:rPr>
        <w:t>links</w:t>
      </w:r>
      <w:r w:rsidRPr="003A78F3">
        <w:rPr>
          <w:rFonts w:cs="Calibri"/>
          <w:lang w:val="en-GB"/>
        </w:rPr>
        <w:t xml:space="preserve"> with the public investment program</w:t>
      </w:r>
      <w:r w:rsidR="004E0C49" w:rsidRPr="003A78F3">
        <w:rPr>
          <w:rFonts w:cs="Calibri"/>
          <w:lang w:val="en-GB"/>
        </w:rPr>
        <w:t>me</w:t>
      </w:r>
      <w:r w:rsidRPr="003A78F3">
        <w:rPr>
          <w:rFonts w:cs="Calibri"/>
          <w:lang w:val="en-GB"/>
        </w:rPr>
        <w:t xml:space="preserve">, </w:t>
      </w:r>
      <w:r w:rsidR="004E0C49" w:rsidRPr="003A78F3">
        <w:rPr>
          <w:rFonts w:cs="Calibri"/>
          <w:lang w:val="en-GB"/>
        </w:rPr>
        <w:t>i.e.</w:t>
      </w:r>
      <w:r w:rsidRPr="003A78F3">
        <w:rPr>
          <w:rFonts w:cs="Calibri"/>
          <w:lang w:val="en-GB"/>
        </w:rPr>
        <w:t xml:space="preserve"> planned budget funds that are allocated </w:t>
      </w:r>
      <w:r w:rsidR="004E0C49" w:rsidRPr="003A78F3">
        <w:rPr>
          <w:rFonts w:cs="Calibri"/>
          <w:lang w:val="en-GB"/>
        </w:rPr>
        <w:t>based on</w:t>
      </w:r>
      <w:r w:rsidRPr="003A78F3">
        <w:rPr>
          <w:rFonts w:cs="Calibri"/>
          <w:lang w:val="en-GB"/>
        </w:rPr>
        <w:t xml:space="preserve"> </w:t>
      </w:r>
      <w:r w:rsidR="004E0C49" w:rsidRPr="003A78F3">
        <w:rPr>
          <w:rFonts w:cs="Calibri"/>
          <w:lang w:val="en-GB"/>
        </w:rPr>
        <w:t xml:space="preserve">governments’ </w:t>
      </w:r>
      <w:r w:rsidRPr="003A78F3">
        <w:rPr>
          <w:rFonts w:cs="Calibri"/>
          <w:lang w:val="en-GB"/>
        </w:rPr>
        <w:t>decisions</w:t>
      </w:r>
      <w:r w:rsidR="004E0C49" w:rsidRPr="003A78F3">
        <w:rPr>
          <w:rFonts w:cs="Calibri"/>
          <w:lang w:val="en-GB"/>
        </w:rPr>
        <w:t xml:space="preserve"> and include </w:t>
      </w:r>
      <w:r w:rsidRPr="003A78F3">
        <w:rPr>
          <w:rFonts w:cs="Calibri"/>
          <w:lang w:val="en-GB"/>
        </w:rPr>
        <w:t xml:space="preserve">investments which result in an increase in the value of </w:t>
      </w:r>
      <w:r w:rsidRPr="003A78F3">
        <w:rPr>
          <w:rFonts w:cs="Calibri"/>
          <w:lang w:val="en-GB"/>
        </w:rPr>
        <w:lastRenderedPageBreak/>
        <w:t xml:space="preserve">non-financial assets. In this way the </w:t>
      </w:r>
      <w:r w:rsidR="00923C9E" w:rsidRPr="003A78F3">
        <w:rPr>
          <w:rFonts w:cs="Calibri"/>
          <w:lang w:val="en-GB"/>
        </w:rPr>
        <w:t>public investment</w:t>
      </w:r>
      <w:r w:rsidRPr="003A78F3">
        <w:rPr>
          <w:rFonts w:cs="Calibri"/>
          <w:lang w:val="en-GB"/>
        </w:rPr>
        <w:t xml:space="preserve"> </w:t>
      </w:r>
      <w:r w:rsidR="00923C9E" w:rsidRPr="003A78F3">
        <w:rPr>
          <w:rFonts w:cs="Calibri"/>
          <w:lang w:val="en-GB"/>
        </w:rPr>
        <w:t xml:space="preserve">programme </w:t>
      </w:r>
      <w:r w:rsidRPr="003A78F3">
        <w:rPr>
          <w:rFonts w:cs="Calibri"/>
          <w:lang w:val="en-GB"/>
        </w:rPr>
        <w:t xml:space="preserve">is based on </w:t>
      </w:r>
      <w:r w:rsidR="00923C9E" w:rsidRPr="003A78F3">
        <w:rPr>
          <w:rFonts w:cs="Calibri"/>
          <w:lang w:val="en-GB"/>
        </w:rPr>
        <w:t>the creation of</w:t>
      </w:r>
      <w:r w:rsidRPr="003A78F3">
        <w:rPr>
          <w:rFonts w:cs="Calibri"/>
          <w:lang w:val="en-GB"/>
        </w:rPr>
        <w:t xml:space="preserve"> </w:t>
      </w:r>
      <w:r w:rsidR="00923C9E" w:rsidRPr="003A78F3">
        <w:rPr>
          <w:rFonts w:cs="Calibri"/>
          <w:lang w:val="en-GB"/>
        </w:rPr>
        <w:t xml:space="preserve">a </w:t>
      </w:r>
      <w:r w:rsidRPr="003A78F3">
        <w:rPr>
          <w:rFonts w:cs="Calibri"/>
          <w:lang w:val="en-GB"/>
        </w:rPr>
        <w:t>link between strategic planning and budgeting for projects.</w:t>
      </w:r>
    </w:p>
    <w:p w:rsidR="00A97C31" w:rsidRPr="003A78F3" w:rsidRDefault="00923C9E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As part of </w:t>
      </w:r>
      <w:r w:rsidR="00622566" w:rsidRPr="003A78F3">
        <w:rPr>
          <w:rFonts w:cs="Calibri"/>
          <w:lang w:val="en-GB"/>
        </w:rPr>
        <w:t xml:space="preserve">BPMIS implementation at the level of BiH, FBiH and RS </w:t>
      </w:r>
      <w:r w:rsidRPr="003A78F3">
        <w:rPr>
          <w:rFonts w:cs="Calibri"/>
          <w:lang w:val="en-GB"/>
        </w:rPr>
        <w:t>budgets are</w:t>
      </w:r>
      <w:r w:rsidR="00622566" w:rsidRPr="003A78F3">
        <w:rPr>
          <w:rFonts w:cs="Calibri"/>
          <w:lang w:val="en-GB"/>
        </w:rPr>
        <w:t xml:space="preserve"> prepared in </w:t>
      </w:r>
      <w:r w:rsidRPr="003A78F3">
        <w:rPr>
          <w:rFonts w:cs="Calibri"/>
          <w:lang w:val="en-GB"/>
        </w:rPr>
        <w:t>the</w:t>
      </w:r>
      <w:r w:rsidR="00622566" w:rsidRPr="003A78F3">
        <w:rPr>
          <w:rFonts w:cs="Calibri"/>
          <w:lang w:val="en-GB"/>
        </w:rPr>
        <w:t xml:space="preserve"> program</w:t>
      </w:r>
      <w:r w:rsidRPr="003A78F3">
        <w:rPr>
          <w:rFonts w:cs="Calibri"/>
          <w:lang w:val="en-GB"/>
        </w:rPr>
        <w:t>me</w:t>
      </w:r>
      <w:r w:rsidR="00622566" w:rsidRPr="003A78F3">
        <w:rPr>
          <w:rFonts w:cs="Calibri"/>
          <w:lang w:val="en-GB"/>
        </w:rPr>
        <w:t xml:space="preserve"> format </w:t>
      </w:r>
      <w:r w:rsidRPr="003A78F3">
        <w:rPr>
          <w:rFonts w:cs="Calibri"/>
          <w:lang w:val="en-GB"/>
        </w:rPr>
        <w:t xml:space="preserve">but are not adopted in the </w:t>
      </w:r>
      <w:r w:rsidR="00622566" w:rsidRPr="003A78F3">
        <w:rPr>
          <w:rFonts w:cs="Calibri"/>
          <w:lang w:val="en-GB"/>
        </w:rPr>
        <w:t>program</w:t>
      </w:r>
      <w:r w:rsidRPr="003A78F3">
        <w:rPr>
          <w:rFonts w:cs="Calibri"/>
          <w:lang w:val="en-GB"/>
        </w:rPr>
        <w:t>me</w:t>
      </w:r>
      <w:r w:rsidR="00622566" w:rsidRPr="003A78F3">
        <w:rPr>
          <w:rFonts w:cs="Calibri"/>
          <w:lang w:val="en-GB"/>
        </w:rPr>
        <w:t xml:space="preserve"> format. </w:t>
      </w:r>
      <w:r w:rsidR="004E0C49" w:rsidRPr="003A78F3">
        <w:rPr>
          <w:rFonts w:cs="Calibri"/>
          <w:lang w:val="en-GB"/>
        </w:rPr>
        <w:t>Programme-based budgeting</w:t>
      </w:r>
      <w:r w:rsidR="00622566" w:rsidRPr="003A78F3">
        <w:rPr>
          <w:rFonts w:cs="Calibri"/>
          <w:lang w:val="en-GB"/>
        </w:rPr>
        <w:t xml:space="preserve"> has been introduced through BPMIS only in the planning </w:t>
      </w:r>
      <w:r w:rsidR="00D657E9" w:rsidRPr="003A78F3">
        <w:rPr>
          <w:rFonts w:cs="Calibri"/>
          <w:lang w:val="en-GB"/>
        </w:rPr>
        <w:t>phase</w:t>
      </w:r>
      <w:r w:rsidR="00622566" w:rsidRPr="003A78F3">
        <w:rPr>
          <w:rFonts w:cs="Calibri"/>
          <w:lang w:val="en-GB"/>
        </w:rPr>
        <w:t xml:space="preserve">, and not </w:t>
      </w:r>
      <w:r w:rsidR="00D657E9" w:rsidRPr="003A78F3">
        <w:rPr>
          <w:rFonts w:cs="Calibri"/>
          <w:lang w:val="en-GB"/>
        </w:rPr>
        <w:t>in</w:t>
      </w:r>
      <w:r w:rsidR="00622566" w:rsidRPr="003A78F3">
        <w:rPr>
          <w:rFonts w:cs="Calibri"/>
          <w:lang w:val="en-GB"/>
        </w:rPr>
        <w:t xml:space="preserve"> the </w:t>
      </w:r>
      <w:r w:rsidR="00D657E9" w:rsidRPr="003A78F3">
        <w:rPr>
          <w:rFonts w:cs="Calibri"/>
          <w:lang w:val="en-GB"/>
        </w:rPr>
        <w:t>execution and financial reporting phases</w:t>
      </w:r>
      <w:r w:rsidR="00622566" w:rsidRPr="003A78F3">
        <w:rPr>
          <w:rFonts w:cs="Calibri"/>
          <w:lang w:val="en-GB"/>
        </w:rPr>
        <w:t>.</w:t>
      </w:r>
    </w:p>
    <w:p w:rsidR="00A97C31" w:rsidRPr="003A78F3" w:rsidRDefault="00D657E9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As part of</w:t>
      </w:r>
      <w:r w:rsidR="00622566" w:rsidRPr="003A78F3">
        <w:rPr>
          <w:rFonts w:cs="Calibri"/>
          <w:lang w:val="en-GB"/>
        </w:rPr>
        <w:t xml:space="preserve"> the </w:t>
      </w:r>
      <w:r w:rsidR="00670653" w:rsidRPr="003A78F3">
        <w:rPr>
          <w:rFonts w:cs="Calibri"/>
          <w:lang w:val="en-GB"/>
        </w:rPr>
        <w:t xml:space="preserve">IPA-funded </w:t>
      </w:r>
      <w:r w:rsidR="00622566" w:rsidRPr="003A78F3">
        <w:rPr>
          <w:rFonts w:cs="Calibri"/>
          <w:lang w:val="en-GB"/>
        </w:rPr>
        <w:t xml:space="preserve">project </w:t>
      </w:r>
      <w:r w:rsidRPr="003A78F3">
        <w:rPr>
          <w:rFonts w:cs="Calibri"/>
          <w:lang w:val="en-GB"/>
        </w:rPr>
        <w:t>“</w:t>
      </w:r>
      <w:r w:rsidR="00622566" w:rsidRPr="003A78F3">
        <w:rPr>
          <w:rFonts w:cs="Calibri"/>
          <w:lang w:val="en-GB"/>
        </w:rPr>
        <w:t xml:space="preserve">Strengthening Public </w:t>
      </w:r>
      <w:r w:rsidR="008827BB" w:rsidRPr="003A78F3">
        <w:rPr>
          <w:rFonts w:cs="Calibri"/>
          <w:lang w:val="en-GB"/>
        </w:rPr>
        <w:t>Financial</w:t>
      </w:r>
      <w:r w:rsidR="00622566" w:rsidRPr="003A78F3">
        <w:rPr>
          <w:rFonts w:cs="Calibri"/>
          <w:lang w:val="en-GB"/>
        </w:rPr>
        <w:t xml:space="preserve"> Management</w:t>
      </w:r>
      <w:r w:rsidRPr="003A78F3">
        <w:rPr>
          <w:rFonts w:cs="Calibri"/>
          <w:lang w:val="en-GB"/>
        </w:rPr>
        <w:t>”</w:t>
      </w:r>
      <w:r w:rsidR="004C698E">
        <w:rPr>
          <w:rFonts w:cs="Calibri"/>
          <w:lang w:val="en-GB"/>
        </w:rPr>
        <w:t>,</w:t>
      </w:r>
      <w:r w:rsidR="00622566" w:rsidRPr="003A78F3">
        <w:rPr>
          <w:rFonts w:cs="Calibri"/>
          <w:lang w:val="en-GB"/>
        </w:rPr>
        <w:t xml:space="preserve"> a manual on </w:t>
      </w:r>
      <w:r w:rsidR="004E0C49" w:rsidRPr="003A78F3">
        <w:rPr>
          <w:rFonts w:cs="Calibri"/>
          <w:lang w:val="en-GB"/>
        </w:rPr>
        <w:t>programme-based budgeting</w:t>
      </w:r>
      <w:r w:rsidR="00622566" w:rsidRPr="003A78F3">
        <w:rPr>
          <w:rFonts w:cs="Calibri"/>
          <w:lang w:val="en-GB"/>
        </w:rPr>
        <w:t xml:space="preserve"> </w:t>
      </w:r>
      <w:r w:rsidR="00670653" w:rsidRPr="003A78F3">
        <w:rPr>
          <w:rFonts w:cs="Calibri"/>
          <w:lang w:val="en-GB"/>
        </w:rPr>
        <w:t xml:space="preserve">was developed </w:t>
      </w:r>
      <w:r w:rsidR="00622566" w:rsidRPr="003A78F3">
        <w:rPr>
          <w:rFonts w:cs="Calibri"/>
          <w:lang w:val="en-GB"/>
        </w:rPr>
        <w:t xml:space="preserve">and training </w:t>
      </w:r>
      <w:r w:rsidR="00670653" w:rsidRPr="003A78F3">
        <w:rPr>
          <w:rFonts w:cs="Calibri"/>
          <w:lang w:val="en-GB"/>
        </w:rPr>
        <w:t>was organised for</w:t>
      </w:r>
      <w:r w:rsidR="00622566" w:rsidRPr="003A78F3">
        <w:rPr>
          <w:rFonts w:cs="Calibri"/>
          <w:lang w:val="en-GB"/>
        </w:rPr>
        <w:t xml:space="preserve"> budget </w:t>
      </w:r>
      <w:r w:rsidR="00670653" w:rsidRPr="003A78F3">
        <w:rPr>
          <w:rFonts w:cs="Calibri"/>
          <w:lang w:val="en-GB"/>
        </w:rPr>
        <w:t xml:space="preserve">beneficiaries to which assistance is provided </w:t>
      </w:r>
      <w:r w:rsidR="00622566" w:rsidRPr="003A78F3">
        <w:rPr>
          <w:rFonts w:cs="Calibri"/>
          <w:lang w:val="en-GB"/>
        </w:rPr>
        <w:t xml:space="preserve">by </w:t>
      </w:r>
      <w:r w:rsidR="00670653" w:rsidRPr="003A78F3">
        <w:rPr>
          <w:rFonts w:cs="Calibri"/>
          <w:lang w:val="en-GB"/>
        </w:rPr>
        <w:t xml:space="preserve">project </w:t>
      </w:r>
      <w:r w:rsidR="00622566" w:rsidRPr="003A78F3">
        <w:rPr>
          <w:rFonts w:cs="Calibri"/>
          <w:lang w:val="en-GB"/>
        </w:rPr>
        <w:t xml:space="preserve">experts </w:t>
      </w:r>
      <w:r w:rsidR="00670653" w:rsidRPr="003A78F3">
        <w:rPr>
          <w:rFonts w:cs="Calibri"/>
          <w:lang w:val="en-GB"/>
        </w:rPr>
        <w:t>in analysing and possibly redefining</w:t>
      </w:r>
      <w:r w:rsidR="00622566" w:rsidRPr="003A78F3">
        <w:rPr>
          <w:rFonts w:cs="Calibri"/>
          <w:lang w:val="en-GB"/>
        </w:rPr>
        <w:t xml:space="preserve"> the </w:t>
      </w:r>
      <w:r w:rsidR="00670653" w:rsidRPr="003A78F3">
        <w:rPr>
          <w:rFonts w:cs="Calibri"/>
          <w:lang w:val="en-GB"/>
        </w:rPr>
        <w:t>current</w:t>
      </w:r>
      <w:r w:rsidR="00622566" w:rsidRPr="003A78F3">
        <w:rPr>
          <w:rFonts w:cs="Calibri"/>
          <w:lang w:val="en-GB"/>
        </w:rPr>
        <w:t xml:space="preserve"> program</w:t>
      </w:r>
      <w:r w:rsidR="00670653" w:rsidRPr="003A78F3">
        <w:rPr>
          <w:rFonts w:cs="Calibri"/>
          <w:lang w:val="en-GB"/>
        </w:rPr>
        <w:t>me</w:t>
      </w:r>
      <w:r w:rsidR="00622566" w:rsidRPr="003A78F3">
        <w:rPr>
          <w:rFonts w:cs="Calibri"/>
          <w:lang w:val="en-GB"/>
        </w:rPr>
        <w:t xml:space="preserve"> structure. Workshops were organi</w:t>
      </w:r>
      <w:r w:rsidR="00F25DE3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ed for budget </w:t>
      </w:r>
      <w:r w:rsidR="00F25DE3" w:rsidRPr="003A78F3">
        <w:rPr>
          <w:rFonts w:cs="Calibri"/>
          <w:lang w:val="en-GB"/>
        </w:rPr>
        <w:t>beneficiaries</w:t>
      </w:r>
      <w:r w:rsidR="00622566" w:rsidRPr="003A78F3">
        <w:rPr>
          <w:rFonts w:cs="Calibri"/>
          <w:lang w:val="en-GB"/>
        </w:rPr>
        <w:t xml:space="preserve"> and budget analysts </w:t>
      </w:r>
      <w:r w:rsidR="00F25DE3" w:rsidRPr="003A78F3">
        <w:rPr>
          <w:rFonts w:cs="Calibri"/>
          <w:lang w:val="en-GB"/>
        </w:rPr>
        <w:t>at</w:t>
      </w:r>
      <w:r w:rsidR="00622566" w:rsidRPr="003A78F3">
        <w:rPr>
          <w:rFonts w:cs="Calibri"/>
          <w:lang w:val="en-GB"/>
        </w:rPr>
        <w:t xml:space="preserve"> all levels</w:t>
      </w:r>
      <w:r w:rsidR="00F25DE3" w:rsidRPr="003A78F3">
        <w:rPr>
          <w:rFonts w:cs="Calibri"/>
          <w:lang w:val="en-GB"/>
        </w:rPr>
        <w:t xml:space="preserve"> of government</w:t>
      </w:r>
      <w:r w:rsidR="00622566" w:rsidRPr="003A78F3">
        <w:rPr>
          <w:rFonts w:cs="Calibri"/>
          <w:lang w:val="en-GB"/>
        </w:rPr>
        <w:t xml:space="preserve">. Budget analysts </w:t>
      </w:r>
      <w:r w:rsidR="00F25DE3" w:rsidRPr="003A78F3">
        <w:rPr>
          <w:rFonts w:cs="Calibri"/>
          <w:lang w:val="en-GB"/>
        </w:rPr>
        <w:t>also received</w:t>
      </w:r>
      <w:r w:rsidR="00622566" w:rsidRPr="003A78F3">
        <w:rPr>
          <w:rFonts w:cs="Calibri"/>
          <w:lang w:val="en-GB"/>
        </w:rPr>
        <w:t xml:space="preserve"> training for trainers.</w:t>
      </w:r>
    </w:p>
    <w:p w:rsidR="00A97C31" w:rsidRPr="003A78F3" w:rsidRDefault="00C753AD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With a view to providing</w:t>
      </w:r>
      <w:r w:rsidR="00622566" w:rsidRPr="003A78F3">
        <w:rPr>
          <w:rFonts w:cs="Calibri"/>
          <w:lang w:val="en-GB"/>
        </w:rPr>
        <w:t xml:space="preserve"> additional technical assistance </w:t>
      </w:r>
      <w:r w:rsidRPr="003A78F3">
        <w:rPr>
          <w:rFonts w:cs="Calibri"/>
          <w:lang w:val="en-GB"/>
        </w:rPr>
        <w:t xml:space="preserve">to finance ministries at all four levels of government </w:t>
      </w:r>
      <w:r w:rsidR="008827BB" w:rsidRPr="003A78F3">
        <w:rPr>
          <w:rFonts w:cs="Calibri"/>
          <w:lang w:val="en-GB"/>
        </w:rPr>
        <w:t>under the project “Strengthening Public Financial Management”</w:t>
      </w:r>
      <w:r w:rsidR="00622566" w:rsidRPr="003A78F3">
        <w:rPr>
          <w:rFonts w:cs="Calibri"/>
          <w:lang w:val="en-GB"/>
        </w:rPr>
        <w:t xml:space="preserve">, five pilot budget </w:t>
      </w:r>
      <w:r w:rsidR="008827BB" w:rsidRPr="003A78F3">
        <w:rPr>
          <w:rFonts w:cs="Calibri"/>
          <w:lang w:val="en-GB"/>
        </w:rPr>
        <w:t>beneficiaries</w:t>
      </w:r>
      <w:r w:rsidR="00622566" w:rsidRPr="003A78F3">
        <w:rPr>
          <w:rFonts w:cs="Calibri"/>
          <w:lang w:val="en-GB"/>
        </w:rPr>
        <w:t xml:space="preserve"> </w:t>
      </w:r>
      <w:r w:rsidR="008827BB" w:rsidRPr="003A78F3">
        <w:rPr>
          <w:rFonts w:cs="Calibri"/>
          <w:lang w:val="en-GB"/>
        </w:rPr>
        <w:t xml:space="preserve">were selected in the first phase. </w:t>
      </w:r>
      <w:r w:rsidRPr="003A78F3">
        <w:rPr>
          <w:rFonts w:cs="Calibri"/>
          <w:lang w:val="en-GB"/>
        </w:rPr>
        <w:t xml:space="preserve">As a result of the </w:t>
      </w:r>
      <w:r w:rsidR="00622566" w:rsidRPr="003A78F3">
        <w:rPr>
          <w:rFonts w:cs="Calibri"/>
          <w:lang w:val="en-GB"/>
        </w:rPr>
        <w:t>direct technical assistance</w:t>
      </w:r>
      <w:r w:rsidRPr="003A78F3">
        <w:rPr>
          <w:rFonts w:cs="Calibri"/>
          <w:lang w:val="en-GB"/>
        </w:rPr>
        <w:t xml:space="preserve">, they </w:t>
      </w:r>
      <w:r w:rsidR="00622566" w:rsidRPr="003A78F3">
        <w:rPr>
          <w:rFonts w:cs="Calibri"/>
          <w:lang w:val="en-GB"/>
        </w:rPr>
        <w:t>correct</w:t>
      </w:r>
      <w:r w:rsidRPr="003A78F3">
        <w:rPr>
          <w:rFonts w:cs="Calibri"/>
          <w:lang w:val="en-GB"/>
        </w:rPr>
        <w:t>ed</w:t>
      </w:r>
      <w:r w:rsidR="00622566" w:rsidRPr="003A78F3">
        <w:rPr>
          <w:rFonts w:cs="Calibri"/>
          <w:lang w:val="en-GB"/>
        </w:rPr>
        <w:t xml:space="preserve"> and </w:t>
      </w:r>
      <w:r w:rsidR="008827BB" w:rsidRPr="003A78F3">
        <w:rPr>
          <w:rFonts w:cs="Calibri"/>
          <w:lang w:val="en-GB"/>
        </w:rPr>
        <w:t>upgrad</w:t>
      </w:r>
      <w:r w:rsidRPr="003A78F3">
        <w:rPr>
          <w:rFonts w:cs="Calibri"/>
          <w:lang w:val="en-GB"/>
        </w:rPr>
        <w:t>ed</w:t>
      </w:r>
      <w:r w:rsidR="00622566" w:rsidRPr="003A78F3">
        <w:rPr>
          <w:rFonts w:cs="Calibri"/>
          <w:lang w:val="en-GB"/>
        </w:rPr>
        <w:t xml:space="preserve"> the existing </w:t>
      </w:r>
      <w:r w:rsidR="008827BB" w:rsidRPr="003A78F3">
        <w:rPr>
          <w:rFonts w:cs="Calibri"/>
          <w:lang w:val="en-GB"/>
        </w:rPr>
        <w:t>programme</w:t>
      </w:r>
      <w:r w:rsidR="00622566" w:rsidRPr="003A78F3">
        <w:rPr>
          <w:rFonts w:cs="Calibri"/>
          <w:lang w:val="en-GB"/>
        </w:rPr>
        <w:t xml:space="preserve"> format and fully implement</w:t>
      </w:r>
      <w:r w:rsidRPr="003A78F3">
        <w:rPr>
          <w:rFonts w:cs="Calibri"/>
          <w:lang w:val="en-GB"/>
        </w:rPr>
        <w:t>ed</w:t>
      </w:r>
      <w:r w:rsidR="00622566" w:rsidRPr="003A78F3">
        <w:rPr>
          <w:rFonts w:cs="Calibri"/>
          <w:lang w:val="en-GB"/>
        </w:rPr>
        <w:t xml:space="preserve"> the program</w:t>
      </w:r>
      <w:r w:rsidRPr="003A78F3">
        <w:rPr>
          <w:rFonts w:cs="Calibri"/>
          <w:lang w:val="en-GB"/>
        </w:rPr>
        <w:t>me-based approach to</w:t>
      </w:r>
      <w:r w:rsidR="00622566" w:rsidRPr="003A78F3">
        <w:rPr>
          <w:rFonts w:cs="Calibri"/>
          <w:lang w:val="en-GB"/>
        </w:rPr>
        <w:t xml:space="preserve"> budgeting.  </w:t>
      </w:r>
      <w:r w:rsidRPr="003A78F3">
        <w:rPr>
          <w:rFonts w:cs="Calibri"/>
          <w:lang w:val="en-GB"/>
        </w:rPr>
        <w:t xml:space="preserve"> </w:t>
      </w:r>
    </w:p>
    <w:p w:rsidR="00A97C31" w:rsidRPr="003A78F3" w:rsidRDefault="0093297B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As a result of </w:t>
      </w:r>
      <w:r w:rsidR="00E3467C" w:rsidRPr="003A78F3">
        <w:rPr>
          <w:rFonts w:cs="Calibri"/>
          <w:lang w:val="en-GB"/>
        </w:rPr>
        <w:t xml:space="preserve">workshops and </w:t>
      </w:r>
      <w:r w:rsidRPr="003A78F3">
        <w:rPr>
          <w:rFonts w:cs="Calibri"/>
          <w:lang w:val="en-GB"/>
        </w:rPr>
        <w:t xml:space="preserve">technical assistance provided under the project, </w:t>
      </w:r>
      <w:r w:rsidR="00E3467C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>m</w:t>
      </w:r>
      <w:r w:rsidR="00622566" w:rsidRPr="003A78F3">
        <w:rPr>
          <w:rFonts w:cs="Calibri"/>
          <w:lang w:val="en-GB"/>
        </w:rPr>
        <w:t>inistr</w:t>
      </w:r>
      <w:r w:rsidRPr="003A78F3">
        <w:rPr>
          <w:rFonts w:cs="Calibri"/>
          <w:lang w:val="en-GB"/>
        </w:rPr>
        <w:t>ies of f</w:t>
      </w:r>
      <w:r w:rsidR="00622566" w:rsidRPr="003A78F3">
        <w:rPr>
          <w:rFonts w:cs="Calibri"/>
          <w:lang w:val="en-GB"/>
        </w:rPr>
        <w:t xml:space="preserve">inance engaged in more </w:t>
      </w:r>
      <w:r w:rsidR="00AA19CF" w:rsidRPr="003A78F3">
        <w:rPr>
          <w:rFonts w:cs="Calibri"/>
          <w:lang w:val="en-GB"/>
        </w:rPr>
        <w:t>appropriate</w:t>
      </w:r>
      <w:r w:rsidR="00622566" w:rsidRPr="003A78F3">
        <w:rPr>
          <w:rFonts w:cs="Calibri"/>
          <w:lang w:val="en-GB"/>
        </w:rPr>
        <w:t xml:space="preserve"> definition</w:t>
      </w:r>
      <w:r w:rsidR="00D06646" w:rsidRPr="003A78F3">
        <w:rPr>
          <w:rFonts w:cs="Calibri"/>
          <w:lang w:val="en-GB"/>
        </w:rPr>
        <w:t>/</w:t>
      </w:r>
      <w:r w:rsidR="00622566" w:rsidRPr="003A78F3">
        <w:rPr>
          <w:rFonts w:cs="Calibri"/>
          <w:lang w:val="en-GB"/>
        </w:rPr>
        <w:t>redefinition of program</w:t>
      </w:r>
      <w:r w:rsidRPr="003A78F3">
        <w:rPr>
          <w:rFonts w:cs="Calibri"/>
          <w:lang w:val="en-GB"/>
        </w:rPr>
        <w:t>mes,</w:t>
      </w:r>
      <w:r w:rsidR="00622566" w:rsidRPr="003A78F3">
        <w:rPr>
          <w:rFonts w:cs="Calibri"/>
          <w:lang w:val="en-GB"/>
        </w:rPr>
        <w:t xml:space="preserve"> objectives and performance indicators. </w:t>
      </w:r>
    </w:p>
    <w:p w:rsidR="00A97C31" w:rsidRPr="003A78F3" w:rsidRDefault="00AA19CF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While</w:t>
      </w:r>
      <w:r w:rsidR="00622566" w:rsidRPr="003A78F3">
        <w:rPr>
          <w:rFonts w:cs="Calibri"/>
          <w:lang w:val="en-GB"/>
        </w:rPr>
        <w:t xml:space="preserve"> budgets </w:t>
      </w:r>
      <w:r w:rsidR="0093297B" w:rsidRPr="003A78F3">
        <w:rPr>
          <w:rFonts w:cs="Calibri"/>
          <w:lang w:val="en-GB"/>
        </w:rPr>
        <w:t>at</w:t>
      </w:r>
      <w:r w:rsidR="00622566" w:rsidRPr="003A78F3">
        <w:rPr>
          <w:rFonts w:cs="Calibri"/>
          <w:lang w:val="en-GB"/>
        </w:rPr>
        <w:t xml:space="preserve"> entity levels </w:t>
      </w:r>
      <w:r w:rsidR="0093297B" w:rsidRPr="003A78F3">
        <w:rPr>
          <w:rFonts w:cs="Calibri"/>
          <w:lang w:val="en-GB"/>
        </w:rPr>
        <w:t xml:space="preserve">are </w:t>
      </w:r>
      <w:r w:rsidR="00622566" w:rsidRPr="003A78F3">
        <w:rPr>
          <w:rFonts w:cs="Calibri"/>
          <w:lang w:val="en-GB"/>
        </w:rPr>
        <w:t xml:space="preserve">planned in </w:t>
      </w:r>
      <w:r w:rsidR="0093297B" w:rsidRPr="003A78F3">
        <w:rPr>
          <w:rFonts w:cs="Calibri"/>
          <w:lang w:val="en-GB"/>
        </w:rPr>
        <w:t xml:space="preserve">BPMIS in </w:t>
      </w:r>
      <w:r w:rsidR="00622566" w:rsidRPr="003A78F3">
        <w:rPr>
          <w:rFonts w:cs="Calibri"/>
          <w:lang w:val="en-GB"/>
        </w:rPr>
        <w:t>the program</w:t>
      </w:r>
      <w:r w:rsidRPr="003A78F3">
        <w:rPr>
          <w:rFonts w:cs="Calibri"/>
          <w:lang w:val="en-GB"/>
        </w:rPr>
        <w:t>me</w:t>
      </w:r>
      <w:r w:rsidR="00622566" w:rsidRPr="003A78F3">
        <w:rPr>
          <w:rFonts w:cs="Calibri"/>
          <w:lang w:val="en-GB"/>
        </w:rPr>
        <w:t xml:space="preserve"> format</w:t>
      </w:r>
      <w:r w:rsidR="0093297B" w:rsidRPr="003A78F3">
        <w:rPr>
          <w:rFonts w:cs="Calibri"/>
          <w:lang w:val="en-GB"/>
        </w:rPr>
        <w:t>, they are</w:t>
      </w:r>
      <w:r w:rsidR="00622566" w:rsidRPr="003A78F3">
        <w:rPr>
          <w:rFonts w:cs="Calibri"/>
          <w:lang w:val="en-GB"/>
        </w:rPr>
        <w:t xml:space="preserve"> still adopted and published only by economic classification in</w:t>
      </w:r>
      <w:r w:rsidR="0093297B" w:rsidRPr="003A78F3">
        <w:rPr>
          <w:rFonts w:cs="Calibri"/>
          <w:lang w:val="en-GB"/>
        </w:rPr>
        <w:t xml:space="preserve"> both</w:t>
      </w:r>
      <w:r w:rsidR="00622566" w:rsidRPr="003A78F3">
        <w:rPr>
          <w:rFonts w:cs="Calibri"/>
          <w:lang w:val="en-GB"/>
        </w:rPr>
        <w:t xml:space="preserve"> RS</w:t>
      </w:r>
      <w:r w:rsidR="00622566" w:rsidRPr="003A78F3">
        <w:rPr>
          <w:rFonts w:cs="Calibri"/>
          <w:vertAlign w:val="superscript"/>
          <w:lang w:val="en-GB"/>
        </w:rPr>
        <w:footnoteReference w:id="4"/>
      </w:r>
      <w:r w:rsidR="0093297B" w:rsidRPr="003A78F3">
        <w:rPr>
          <w:rFonts w:cs="Calibri"/>
          <w:lang w:val="en-GB"/>
        </w:rPr>
        <w:t xml:space="preserve"> and</w:t>
      </w:r>
      <w:r w:rsidR="00622566" w:rsidRPr="003A78F3">
        <w:rPr>
          <w:rFonts w:cs="Calibri"/>
          <w:lang w:val="en-GB"/>
        </w:rPr>
        <w:t xml:space="preserve"> FBiH</w:t>
      </w:r>
      <w:r w:rsidR="00622566" w:rsidRPr="003A78F3">
        <w:rPr>
          <w:rFonts w:cs="Calibri"/>
          <w:vertAlign w:val="superscript"/>
          <w:lang w:val="en-GB"/>
        </w:rPr>
        <w:footnoteReference w:id="5"/>
      </w:r>
      <w:r w:rsidR="00622566" w:rsidRPr="003A78F3">
        <w:rPr>
          <w:rFonts w:cs="Calibri"/>
          <w:lang w:val="en-GB"/>
        </w:rPr>
        <w:t xml:space="preserve">. </w:t>
      </w:r>
    </w:p>
    <w:p w:rsidR="00A97C31" w:rsidRPr="003A78F3" w:rsidRDefault="00622566" w:rsidP="00403657">
      <w:pPr>
        <w:pStyle w:val="Heading3"/>
        <w:rPr>
          <w:rFonts w:ascii="Calibri" w:hAnsi="Calibri" w:cs="Calibri"/>
          <w:lang w:val="en-GB"/>
        </w:rPr>
      </w:pPr>
      <w:bookmarkStart w:id="13" w:name="_Toc445049556"/>
      <w:bookmarkStart w:id="14" w:name="_Toc473971989"/>
      <w:r w:rsidRPr="003A78F3">
        <w:rPr>
          <w:rFonts w:ascii="Calibri" w:hAnsi="Calibri" w:cs="Calibri"/>
          <w:lang w:val="en-GB"/>
        </w:rPr>
        <w:t xml:space="preserve">1.4 </w:t>
      </w:r>
      <w:r w:rsidR="00AA19CF" w:rsidRPr="003A78F3">
        <w:rPr>
          <w:rFonts w:ascii="Calibri" w:hAnsi="Calibri" w:cs="Calibri"/>
          <w:lang w:val="en-GB"/>
        </w:rPr>
        <w:t>Including p</w:t>
      </w:r>
      <w:r w:rsidRPr="003A78F3">
        <w:rPr>
          <w:rFonts w:ascii="Calibri" w:hAnsi="Calibri" w:cs="Calibri"/>
          <w:lang w:val="en-GB"/>
        </w:rPr>
        <w:t>arliament</w:t>
      </w:r>
      <w:r w:rsidR="00AA19CF" w:rsidRPr="003A78F3">
        <w:rPr>
          <w:rFonts w:ascii="Calibri" w:hAnsi="Calibri" w:cs="Calibri"/>
          <w:lang w:val="en-GB"/>
        </w:rPr>
        <w:t>s</w:t>
      </w:r>
      <w:r w:rsidRPr="003A78F3">
        <w:rPr>
          <w:rFonts w:ascii="Calibri" w:hAnsi="Calibri" w:cs="Calibri"/>
          <w:lang w:val="en-GB"/>
        </w:rPr>
        <w:t xml:space="preserve"> in the budget approval process</w:t>
      </w:r>
      <w:bookmarkEnd w:id="13"/>
      <w:bookmarkEnd w:id="14"/>
    </w:p>
    <w:p w:rsidR="00A97C31" w:rsidRPr="003A78F3" w:rsidRDefault="00622566" w:rsidP="00403657">
      <w:pPr>
        <w:spacing w:after="0"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 </w:t>
      </w:r>
    </w:p>
    <w:p w:rsidR="00A97C31" w:rsidRPr="003A78F3" w:rsidRDefault="001A4FB6" w:rsidP="00403657">
      <w:pPr>
        <w:spacing w:line="240" w:lineRule="auto"/>
        <w:jc w:val="both"/>
        <w:rPr>
          <w:rFonts w:cs="Calibri"/>
          <w:lang w:val="en-GB" w:eastAsia="ja-JP"/>
        </w:rPr>
      </w:pPr>
      <w:r w:rsidRPr="003A78F3">
        <w:rPr>
          <w:rFonts w:cs="Calibri"/>
          <w:lang w:val="en-GB" w:eastAsia="ja-JP"/>
        </w:rPr>
        <w:t>The Rules on Financial Reporting for Beneficiaries of the Budgets of the Republic, Municipalities, Cities and Extra-budgetary Funds</w:t>
      </w:r>
      <w:r w:rsidR="00695F64">
        <w:rPr>
          <w:rFonts w:cs="Calibri"/>
          <w:lang w:val="en-GB" w:eastAsia="ja-JP"/>
        </w:rPr>
        <w:t xml:space="preserve"> of RS</w:t>
      </w:r>
      <w:r w:rsidR="00622566" w:rsidRPr="003A78F3">
        <w:rPr>
          <w:rFonts w:cs="Calibri"/>
          <w:lang w:val="en-GB" w:eastAsia="ja-JP"/>
        </w:rPr>
        <w:t xml:space="preserve">, which has been in force since 2011, </w:t>
      </w:r>
      <w:r w:rsidR="007560A2" w:rsidRPr="003A78F3">
        <w:rPr>
          <w:rFonts w:cs="Calibri"/>
          <w:lang w:val="en-GB" w:eastAsia="ja-JP"/>
        </w:rPr>
        <w:t>sets forth</w:t>
      </w:r>
      <w:r w:rsidR="00AA19CF" w:rsidRPr="003A78F3">
        <w:rPr>
          <w:rFonts w:cs="Calibri"/>
          <w:lang w:val="en-GB" w:eastAsia="ja-JP"/>
        </w:rPr>
        <w:t xml:space="preserve"> the</w:t>
      </w:r>
      <w:r w:rsidR="00622566" w:rsidRPr="003A78F3">
        <w:rPr>
          <w:rFonts w:cs="Calibri"/>
          <w:lang w:val="en-GB" w:eastAsia="ja-JP"/>
        </w:rPr>
        <w:t xml:space="preserve"> format and contents as well as methods of preparation and presentation of financial </w:t>
      </w:r>
      <w:r w:rsidR="00695F64">
        <w:rPr>
          <w:rFonts w:cs="Calibri"/>
          <w:lang w:val="en-GB" w:eastAsia="ja-JP"/>
        </w:rPr>
        <w:t>reports</w:t>
      </w:r>
      <w:r w:rsidR="00622566" w:rsidRPr="003A78F3">
        <w:rPr>
          <w:rFonts w:cs="Calibri"/>
          <w:lang w:val="en-GB" w:eastAsia="ja-JP"/>
        </w:rPr>
        <w:t xml:space="preserve"> for budget </w:t>
      </w:r>
      <w:r w:rsidR="00AA19CF" w:rsidRPr="003A78F3">
        <w:rPr>
          <w:rFonts w:cs="Calibri"/>
          <w:lang w:val="en-GB" w:eastAsia="ja-JP"/>
        </w:rPr>
        <w:t>beneficiaries of the R</w:t>
      </w:r>
      <w:r w:rsidR="00622566" w:rsidRPr="003A78F3">
        <w:rPr>
          <w:rFonts w:cs="Calibri"/>
          <w:lang w:val="en-GB" w:eastAsia="ja-JP"/>
        </w:rPr>
        <w:t xml:space="preserve">epublic, municipalities, cities and funds. The financial </w:t>
      </w:r>
      <w:r w:rsidR="00695F64">
        <w:rPr>
          <w:rFonts w:cs="Calibri"/>
          <w:lang w:val="en-GB" w:eastAsia="ja-JP"/>
        </w:rPr>
        <w:t>reports</w:t>
      </w:r>
      <w:r w:rsidR="00622566" w:rsidRPr="003A78F3">
        <w:rPr>
          <w:rFonts w:cs="Calibri"/>
          <w:lang w:val="en-GB" w:eastAsia="ja-JP"/>
        </w:rPr>
        <w:t xml:space="preserve"> include: monthly, quarterly and annual financial </w:t>
      </w:r>
      <w:r w:rsidR="00695F64">
        <w:rPr>
          <w:rFonts w:cs="Calibri"/>
          <w:lang w:val="en-GB" w:eastAsia="ja-JP"/>
        </w:rPr>
        <w:t>reports</w:t>
      </w:r>
      <w:r w:rsidR="00622566" w:rsidRPr="003A78F3">
        <w:rPr>
          <w:rFonts w:cs="Calibri"/>
          <w:lang w:val="en-GB" w:eastAsia="ja-JP"/>
        </w:rPr>
        <w:t xml:space="preserve"> of individual budget </w:t>
      </w:r>
      <w:r w:rsidR="00AA19CF" w:rsidRPr="003A78F3">
        <w:rPr>
          <w:rFonts w:cs="Calibri"/>
          <w:lang w:val="en-GB" w:eastAsia="ja-JP"/>
        </w:rPr>
        <w:t>beneficiaries</w:t>
      </w:r>
      <w:r w:rsidR="00622566" w:rsidRPr="003A78F3">
        <w:rPr>
          <w:rFonts w:cs="Calibri"/>
          <w:lang w:val="en-GB" w:eastAsia="ja-JP"/>
        </w:rPr>
        <w:t xml:space="preserve"> and annual financial </w:t>
      </w:r>
      <w:r w:rsidR="00695F64">
        <w:rPr>
          <w:rFonts w:cs="Calibri"/>
          <w:lang w:val="en-GB" w:eastAsia="ja-JP"/>
        </w:rPr>
        <w:t>reports</w:t>
      </w:r>
      <w:r w:rsidR="00622566" w:rsidRPr="003A78F3">
        <w:rPr>
          <w:rFonts w:cs="Calibri"/>
          <w:lang w:val="en-GB" w:eastAsia="ja-JP"/>
        </w:rPr>
        <w:t xml:space="preserve"> for certain levels of government. </w:t>
      </w:r>
      <w:r w:rsidR="007560A2" w:rsidRPr="003A78F3">
        <w:rPr>
          <w:rFonts w:cs="Calibri"/>
          <w:lang w:val="en-GB" w:eastAsia="ja-JP"/>
        </w:rPr>
        <w:t xml:space="preserve">The </w:t>
      </w:r>
      <w:r w:rsidR="00832572" w:rsidRPr="003A78F3">
        <w:rPr>
          <w:rFonts w:cs="Calibri"/>
          <w:lang w:val="en-GB" w:eastAsia="ja-JP"/>
        </w:rPr>
        <w:t>Rules</w:t>
      </w:r>
      <w:r w:rsidR="00622566" w:rsidRPr="003A78F3">
        <w:rPr>
          <w:rFonts w:cs="Calibri"/>
          <w:lang w:val="en-GB" w:eastAsia="ja-JP"/>
        </w:rPr>
        <w:t xml:space="preserve"> introduced a </w:t>
      </w:r>
      <w:r w:rsidR="007560A2" w:rsidRPr="003A78F3">
        <w:rPr>
          <w:rFonts w:cs="Calibri"/>
          <w:lang w:val="en-GB" w:eastAsia="ja-JP"/>
        </w:rPr>
        <w:t xml:space="preserve">reporting </w:t>
      </w:r>
      <w:r w:rsidR="00622566" w:rsidRPr="003A78F3">
        <w:rPr>
          <w:rFonts w:cs="Calibri"/>
          <w:lang w:val="en-GB" w:eastAsia="ja-JP"/>
        </w:rPr>
        <w:t xml:space="preserve">form for </w:t>
      </w:r>
      <w:r w:rsidR="007560A2" w:rsidRPr="003A78F3">
        <w:rPr>
          <w:rFonts w:cs="Calibri"/>
          <w:lang w:val="en-GB" w:eastAsia="ja-JP"/>
        </w:rPr>
        <w:t xml:space="preserve">budget </w:t>
      </w:r>
      <w:r w:rsidR="00622566" w:rsidRPr="003A78F3">
        <w:rPr>
          <w:rFonts w:cs="Calibri"/>
          <w:lang w:val="en-GB" w:eastAsia="ja-JP"/>
        </w:rPr>
        <w:t xml:space="preserve">expenditures and </w:t>
      </w:r>
      <w:r w:rsidR="007560A2" w:rsidRPr="003A78F3">
        <w:rPr>
          <w:rFonts w:cs="Calibri"/>
          <w:lang w:val="en-GB" w:eastAsia="ja-JP"/>
        </w:rPr>
        <w:t>expenses</w:t>
      </w:r>
      <w:r w:rsidR="00622566" w:rsidRPr="003A78F3">
        <w:rPr>
          <w:rFonts w:cs="Calibri"/>
          <w:lang w:val="en-GB" w:eastAsia="ja-JP"/>
        </w:rPr>
        <w:t xml:space="preserve"> in accordance with UN</w:t>
      </w:r>
      <w:r w:rsidR="007560A2" w:rsidRPr="003A78F3">
        <w:rPr>
          <w:rFonts w:cs="Calibri"/>
          <w:lang w:val="en-GB" w:eastAsia="ja-JP"/>
        </w:rPr>
        <w:t>’s</w:t>
      </w:r>
      <w:r w:rsidR="00622566" w:rsidRPr="003A78F3">
        <w:rPr>
          <w:rFonts w:cs="Calibri"/>
          <w:lang w:val="en-GB" w:eastAsia="ja-JP"/>
        </w:rPr>
        <w:t xml:space="preserve"> </w:t>
      </w:r>
      <w:r w:rsidR="007560A2" w:rsidRPr="003A78F3">
        <w:rPr>
          <w:rFonts w:cs="Calibri"/>
          <w:lang w:val="en-GB" w:eastAsia="ja-JP"/>
        </w:rPr>
        <w:t>Classification of the Functions of Government</w:t>
      </w:r>
      <w:r w:rsidR="00622566" w:rsidRPr="003A78F3">
        <w:rPr>
          <w:rFonts w:cs="Calibri"/>
          <w:lang w:val="en-GB" w:eastAsia="ja-JP"/>
        </w:rPr>
        <w:t xml:space="preserve"> </w:t>
      </w:r>
      <w:r w:rsidR="007560A2" w:rsidRPr="003A78F3">
        <w:rPr>
          <w:rFonts w:cs="Calibri"/>
          <w:lang w:val="en-GB" w:eastAsia="ja-JP"/>
        </w:rPr>
        <w:t>–</w:t>
      </w:r>
      <w:r w:rsidR="00622566" w:rsidRPr="003A78F3">
        <w:rPr>
          <w:rFonts w:cs="Calibri"/>
          <w:lang w:val="en-GB" w:eastAsia="ja-JP"/>
        </w:rPr>
        <w:t xml:space="preserve"> COFOG</w:t>
      </w:r>
      <w:r w:rsidR="00622566" w:rsidRPr="003A78F3">
        <w:rPr>
          <w:rStyle w:val="FootnoteReference"/>
          <w:rFonts w:cs="Calibri"/>
          <w:lang w:val="en-GB"/>
        </w:rPr>
        <w:footnoteReference w:id="6"/>
      </w:r>
      <w:r w:rsidR="00622566" w:rsidRPr="003A78F3">
        <w:rPr>
          <w:rFonts w:cs="Calibri"/>
          <w:lang w:val="en-GB"/>
        </w:rPr>
        <w:t>.</w:t>
      </w:r>
    </w:p>
    <w:p w:rsidR="00A97C31" w:rsidRPr="003A78F3" w:rsidRDefault="00E3467C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Of</w:t>
      </w:r>
      <w:r w:rsidR="00F27C15" w:rsidRPr="003A78F3">
        <w:rPr>
          <w:rFonts w:cs="Calibri"/>
          <w:lang w:val="en-GB"/>
        </w:rPr>
        <w:t xml:space="preserve"> all levels of government in BiH, </w:t>
      </w:r>
      <w:r w:rsidRPr="003A78F3">
        <w:rPr>
          <w:rFonts w:cs="Calibri"/>
          <w:lang w:val="en-GB"/>
        </w:rPr>
        <w:t xml:space="preserve">only </w:t>
      </w:r>
      <w:r w:rsidR="00F27C15" w:rsidRPr="003A78F3">
        <w:rPr>
          <w:rFonts w:cs="Calibri"/>
          <w:lang w:val="en-GB"/>
        </w:rPr>
        <w:t xml:space="preserve">RS has regulated monthly reporting, and these reports are </w:t>
      </w:r>
      <w:r w:rsidR="00F27C15" w:rsidRPr="003A78F3">
        <w:rPr>
          <w:rFonts w:cs="Calibri"/>
          <w:lang w:val="en-GB"/>
        </w:rPr>
        <w:lastRenderedPageBreak/>
        <w:t xml:space="preserve">prepared for each month of the fiscal year </w:t>
      </w:r>
      <w:r w:rsidRPr="003A78F3">
        <w:rPr>
          <w:rFonts w:cs="Calibri"/>
          <w:lang w:val="en-GB"/>
        </w:rPr>
        <w:t>regardless of</w:t>
      </w:r>
      <w:r w:rsidR="00F27C15" w:rsidRPr="003A78F3">
        <w:rPr>
          <w:rFonts w:cs="Calibri"/>
          <w:lang w:val="en-GB"/>
        </w:rPr>
        <w:t xml:space="preserve"> the obligation to </w:t>
      </w:r>
      <w:r w:rsidRPr="003A78F3">
        <w:rPr>
          <w:rFonts w:cs="Calibri"/>
          <w:lang w:val="en-GB"/>
        </w:rPr>
        <w:t xml:space="preserve">prepare quarterly and annual </w:t>
      </w:r>
      <w:r w:rsidR="00F27C15" w:rsidRPr="003A78F3">
        <w:rPr>
          <w:rFonts w:cs="Calibri"/>
          <w:lang w:val="en-GB"/>
        </w:rPr>
        <w:t>report</w:t>
      </w:r>
      <w:r w:rsidRPr="003A78F3">
        <w:rPr>
          <w:rFonts w:cs="Calibri"/>
          <w:lang w:val="en-GB"/>
        </w:rPr>
        <w:t>s</w:t>
      </w:r>
      <w:r w:rsidR="00F27C15" w:rsidRPr="003A78F3">
        <w:rPr>
          <w:rFonts w:cs="Calibri"/>
          <w:lang w:val="en-GB"/>
        </w:rPr>
        <w:t>.</w:t>
      </w:r>
    </w:p>
    <w:p w:rsidR="00A97C31" w:rsidRPr="003A78F3" w:rsidRDefault="005474BA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</w:t>
      </w:r>
      <w:r w:rsidR="00230DB3" w:rsidRPr="003A78F3">
        <w:rPr>
          <w:rFonts w:cs="Calibri"/>
          <w:lang w:val="en-GB"/>
        </w:rPr>
        <w:t xml:space="preserve">2007 </w:t>
      </w:r>
      <w:r w:rsidR="00832572" w:rsidRPr="003A78F3">
        <w:rPr>
          <w:rFonts w:cs="Calibri"/>
          <w:lang w:val="en-GB"/>
        </w:rPr>
        <w:t>Rules</w:t>
      </w:r>
      <w:r w:rsidR="00622566" w:rsidRPr="003A78F3">
        <w:rPr>
          <w:rFonts w:cs="Calibri"/>
          <w:lang w:val="en-GB"/>
        </w:rPr>
        <w:t xml:space="preserve"> on </w:t>
      </w:r>
      <w:r w:rsidRPr="003A78F3">
        <w:rPr>
          <w:rFonts w:cs="Calibri"/>
          <w:lang w:val="en-GB"/>
        </w:rPr>
        <w:t xml:space="preserve">Financial Reporting </w:t>
      </w:r>
      <w:r w:rsidR="00622566" w:rsidRPr="003A78F3">
        <w:rPr>
          <w:rFonts w:cs="Calibri"/>
          <w:lang w:val="en-GB"/>
        </w:rPr>
        <w:t xml:space="preserve">and </w:t>
      </w:r>
      <w:r w:rsidRPr="003A78F3">
        <w:rPr>
          <w:rFonts w:cs="Calibri"/>
          <w:lang w:val="en-GB"/>
        </w:rPr>
        <w:t xml:space="preserve">Annual Budget </w:t>
      </w:r>
      <w:r w:rsidR="00230DB3" w:rsidRPr="003A78F3">
        <w:rPr>
          <w:rFonts w:cs="Calibri"/>
          <w:lang w:val="en-GB"/>
        </w:rPr>
        <w:t xml:space="preserve">Account </w:t>
      </w:r>
      <w:r w:rsidR="00622566" w:rsidRPr="003A78F3">
        <w:rPr>
          <w:rFonts w:cs="Calibri"/>
          <w:lang w:val="en-GB"/>
        </w:rPr>
        <w:t xml:space="preserve">of BD </w:t>
      </w:r>
      <w:r w:rsidR="00230DB3" w:rsidRPr="003A78F3">
        <w:rPr>
          <w:rFonts w:cs="Calibri"/>
          <w:lang w:val="en-GB"/>
        </w:rPr>
        <w:t>define</w:t>
      </w:r>
      <w:r w:rsidR="00622566" w:rsidRPr="003A78F3">
        <w:rPr>
          <w:rFonts w:cs="Calibri"/>
          <w:lang w:val="en-GB"/>
        </w:rPr>
        <w:t xml:space="preserve"> the content, </w:t>
      </w:r>
      <w:r w:rsidR="00230DB3" w:rsidRPr="003A78F3">
        <w:rPr>
          <w:rFonts w:cs="Calibri"/>
          <w:lang w:val="en-GB"/>
        </w:rPr>
        <w:t xml:space="preserve">financial reporting </w:t>
      </w:r>
      <w:r w:rsidR="00622566" w:rsidRPr="003A78F3">
        <w:rPr>
          <w:rFonts w:cs="Calibri"/>
          <w:lang w:val="en-GB"/>
        </w:rPr>
        <w:t xml:space="preserve">methods and instructions for the preparation of periodic, annual and additional financial reports on budget execution. The </w:t>
      </w:r>
      <w:r w:rsidR="00832572" w:rsidRPr="003A78F3">
        <w:rPr>
          <w:rFonts w:cs="Calibri"/>
          <w:lang w:val="en-GB"/>
        </w:rPr>
        <w:t>Rules</w:t>
      </w:r>
      <w:r w:rsidR="00622566" w:rsidRPr="003A78F3">
        <w:rPr>
          <w:rFonts w:cs="Calibri"/>
          <w:lang w:val="en-GB"/>
        </w:rPr>
        <w:t xml:space="preserve"> prescribe periodic reports for period</w:t>
      </w:r>
      <w:r w:rsidR="00230DB3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 shorter than one year and annual reports for review of the fiscal situation. </w:t>
      </w:r>
      <w:r w:rsidR="00230DB3" w:rsidRPr="003A78F3">
        <w:rPr>
          <w:rFonts w:cs="Calibri"/>
          <w:lang w:val="en-GB"/>
        </w:rPr>
        <w:t xml:space="preserve">The Instruction on the Preparation and Development of Additional Financial </w:t>
      </w:r>
      <w:r w:rsidR="00892CDA" w:rsidRPr="003A78F3">
        <w:rPr>
          <w:rFonts w:cs="Calibri"/>
          <w:lang w:val="en-GB"/>
        </w:rPr>
        <w:t>Reports</w:t>
      </w:r>
      <w:r w:rsidR="00230DB3" w:rsidRPr="003A78F3">
        <w:rPr>
          <w:rFonts w:cs="Calibri"/>
          <w:lang w:val="en-GB"/>
        </w:rPr>
        <w:t xml:space="preserve"> of the Treasury </w:t>
      </w:r>
      <w:r w:rsidR="00622566" w:rsidRPr="003A78F3">
        <w:rPr>
          <w:rFonts w:cs="Calibri"/>
          <w:lang w:val="en-GB"/>
        </w:rPr>
        <w:t>regul</w:t>
      </w:r>
      <w:r w:rsidR="00230DB3" w:rsidRPr="003A78F3">
        <w:rPr>
          <w:rFonts w:cs="Calibri"/>
          <w:lang w:val="en-GB"/>
        </w:rPr>
        <w:t>ates the process of preparing</w:t>
      </w:r>
      <w:r w:rsidR="00622566" w:rsidRPr="003A78F3">
        <w:rPr>
          <w:rFonts w:cs="Calibri"/>
          <w:lang w:val="en-GB"/>
        </w:rPr>
        <w:t xml:space="preserve"> additional financial </w:t>
      </w:r>
      <w:r w:rsidR="00892CDA" w:rsidRPr="003A78F3">
        <w:rPr>
          <w:rFonts w:cs="Calibri"/>
          <w:lang w:val="en-GB"/>
        </w:rPr>
        <w:t>reports</w:t>
      </w:r>
      <w:r w:rsidR="00622566" w:rsidRPr="003A78F3">
        <w:rPr>
          <w:rFonts w:cs="Calibri"/>
          <w:lang w:val="en-GB"/>
        </w:rPr>
        <w:t xml:space="preserve"> </w:t>
      </w:r>
      <w:r w:rsidR="00892CDA" w:rsidRPr="003A78F3">
        <w:rPr>
          <w:rFonts w:cs="Calibri"/>
          <w:lang w:val="en-GB"/>
        </w:rPr>
        <w:t>that the Treasury is required to prepare</w:t>
      </w:r>
      <w:r w:rsidR="00622566" w:rsidRPr="003A78F3">
        <w:rPr>
          <w:rFonts w:cs="Calibri"/>
          <w:lang w:val="en-GB"/>
        </w:rPr>
        <w:t xml:space="preserve"> on the basis of </w:t>
      </w:r>
      <w:r w:rsidR="00892CDA" w:rsidRPr="003A78F3">
        <w:rPr>
          <w:rFonts w:cs="Calibri"/>
          <w:lang w:val="en-GB"/>
        </w:rPr>
        <w:t>its</w:t>
      </w:r>
      <w:r w:rsidR="00622566" w:rsidRPr="003A78F3">
        <w:rPr>
          <w:rFonts w:cs="Calibri"/>
          <w:lang w:val="en-GB"/>
        </w:rPr>
        <w:t xml:space="preserve"> data and records. Additional financial </w:t>
      </w:r>
      <w:r w:rsidR="00892CDA" w:rsidRPr="003A78F3">
        <w:rPr>
          <w:rFonts w:cs="Calibri"/>
          <w:lang w:val="en-GB"/>
        </w:rPr>
        <w:t>reports</w:t>
      </w:r>
      <w:r w:rsidR="00622566" w:rsidRPr="003A78F3">
        <w:rPr>
          <w:rFonts w:cs="Calibri"/>
          <w:lang w:val="en-GB"/>
        </w:rPr>
        <w:t xml:space="preserve"> are all those </w:t>
      </w:r>
      <w:r w:rsidR="00892CDA" w:rsidRPr="003A78F3">
        <w:rPr>
          <w:rFonts w:cs="Calibri"/>
          <w:lang w:val="en-GB"/>
        </w:rPr>
        <w:t>reports</w:t>
      </w:r>
      <w:r w:rsidR="00622566" w:rsidRPr="003A78F3">
        <w:rPr>
          <w:rFonts w:cs="Calibri"/>
          <w:lang w:val="en-GB"/>
        </w:rPr>
        <w:t xml:space="preserve"> that </w:t>
      </w:r>
      <w:r w:rsidR="00892CDA" w:rsidRPr="003A78F3">
        <w:rPr>
          <w:rFonts w:cs="Calibri"/>
          <w:lang w:val="en-GB"/>
        </w:rPr>
        <w:t>are not mandatory by law</w:t>
      </w:r>
      <w:r w:rsidR="00622566" w:rsidRPr="003A78F3">
        <w:rPr>
          <w:rFonts w:cs="Calibri"/>
          <w:lang w:val="en-GB"/>
        </w:rPr>
        <w:t xml:space="preserve">, and are prepared on the basis of </w:t>
      </w:r>
      <w:r w:rsidR="00892CDA" w:rsidRPr="003A78F3">
        <w:rPr>
          <w:rFonts w:cs="Calibri"/>
          <w:lang w:val="en-GB"/>
        </w:rPr>
        <w:t>submitted requests</w:t>
      </w:r>
      <w:r w:rsidR="00622566" w:rsidRPr="003A78F3">
        <w:rPr>
          <w:rFonts w:cs="Calibri"/>
          <w:lang w:val="en-GB"/>
        </w:rPr>
        <w:t xml:space="preserve"> for the </w:t>
      </w:r>
      <w:r w:rsidR="00892CDA" w:rsidRPr="003A78F3">
        <w:rPr>
          <w:rFonts w:cs="Calibri"/>
          <w:lang w:val="en-GB"/>
        </w:rPr>
        <w:t>purposes</w:t>
      </w:r>
      <w:r w:rsidR="00622566" w:rsidRPr="003A78F3">
        <w:rPr>
          <w:rFonts w:cs="Calibri"/>
          <w:lang w:val="en-GB"/>
        </w:rPr>
        <w:t xml:space="preserve"> of senior civil servants in the </w:t>
      </w:r>
      <w:r w:rsidR="00326920" w:rsidRPr="003A78F3">
        <w:rPr>
          <w:rFonts w:cs="Calibri"/>
          <w:lang w:val="en-GB"/>
        </w:rPr>
        <w:t xml:space="preserve">BD Finance </w:t>
      </w:r>
      <w:r w:rsidR="00622566" w:rsidRPr="003A78F3">
        <w:rPr>
          <w:rFonts w:cs="Calibri"/>
          <w:lang w:val="en-GB"/>
        </w:rPr>
        <w:t>Directo</w:t>
      </w:r>
      <w:r w:rsidR="00326920" w:rsidRPr="003A78F3">
        <w:rPr>
          <w:rFonts w:cs="Calibri"/>
          <w:lang w:val="en-GB"/>
        </w:rPr>
        <w:t>rate</w:t>
      </w:r>
      <w:r w:rsidR="00892CDA" w:rsidRPr="003A78F3">
        <w:rPr>
          <w:rFonts w:cs="Calibri"/>
          <w:lang w:val="en-GB"/>
        </w:rPr>
        <w:t xml:space="preserve">, and as </w:t>
      </w:r>
      <w:r w:rsidR="00622566" w:rsidRPr="003A78F3">
        <w:rPr>
          <w:rFonts w:cs="Calibri"/>
          <w:lang w:val="en-GB"/>
        </w:rPr>
        <w:t xml:space="preserve">per </w:t>
      </w:r>
      <w:r w:rsidR="00892CDA" w:rsidRPr="003A78F3">
        <w:rPr>
          <w:rFonts w:cs="Calibri"/>
          <w:lang w:val="en-GB"/>
        </w:rPr>
        <w:t>request</w:t>
      </w:r>
      <w:r w:rsidR="00622566" w:rsidRPr="003A78F3">
        <w:rPr>
          <w:rFonts w:cs="Calibri"/>
          <w:lang w:val="en-GB"/>
        </w:rPr>
        <w:t xml:space="preserve"> and </w:t>
      </w:r>
      <w:r w:rsidR="00892CDA" w:rsidRPr="003A78F3">
        <w:rPr>
          <w:rFonts w:cs="Calibri"/>
          <w:lang w:val="en-GB"/>
        </w:rPr>
        <w:t xml:space="preserve">for </w:t>
      </w:r>
      <w:r w:rsidR="00622566" w:rsidRPr="003A78F3">
        <w:rPr>
          <w:rFonts w:cs="Calibri"/>
          <w:lang w:val="en-GB"/>
        </w:rPr>
        <w:t xml:space="preserve">the </w:t>
      </w:r>
      <w:r w:rsidR="00892CDA" w:rsidRPr="003A78F3">
        <w:rPr>
          <w:rFonts w:cs="Calibri"/>
          <w:lang w:val="en-GB"/>
        </w:rPr>
        <w:t>purposes of</w:t>
      </w:r>
      <w:r w:rsidR="00622566" w:rsidRPr="003A78F3">
        <w:rPr>
          <w:rFonts w:cs="Calibri"/>
          <w:lang w:val="en-GB"/>
        </w:rPr>
        <w:t xml:space="preserve"> external users.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institutions of BiH and FBiH </w:t>
      </w:r>
      <w:r w:rsidR="00832572" w:rsidRPr="003A78F3">
        <w:rPr>
          <w:rFonts w:cs="Calibri"/>
          <w:lang w:val="en-GB"/>
        </w:rPr>
        <w:t>need to</w:t>
      </w:r>
      <w:r w:rsidRPr="003A78F3">
        <w:rPr>
          <w:rFonts w:cs="Calibri"/>
          <w:lang w:val="en-GB"/>
        </w:rPr>
        <w:t xml:space="preserve"> supplement or amend </w:t>
      </w:r>
      <w:r w:rsidR="00832572" w:rsidRPr="003A78F3">
        <w:rPr>
          <w:rFonts w:cs="Calibri"/>
          <w:lang w:val="en-GB"/>
        </w:rPr>
        <w:t>their</w:t>
      </w:r>
      <w:r w:rsidRPr="003A78F3">
        <w:rPr>
          <w:rFonts w:cs="Calibri"/>
          <w:lang w:val="en-GB"/>
        </w:rPr>
        <w:t xml:space="preserve"> Rules o</w:t>
      </w:r>
      <w:r w:rsidR="00C03370" w:rsidRPr="003A78F3">
        <w:rPr>
          <w:rFonts w:cs="Calibri"/>
          <w:lang w:val="en-GB"/>
        </w:rPr>
        <w:t>n Reporting,</w:t>
      </w:r>
      <w:r w:rsidRPr="003A78F3">
        <w:rPr>
          <w:rFonts w:cs="Calibri"/>
          <w:lang w:val="en-GB"/>
        </w:rPr>
        <w:t xml:space="preserve"> harmoni</w:t>
      </w:r>
      <w:r w:rsidR="00C03370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e them with the GFS methodology and implement </w:t>
      </w:r>
      <w:r w:rsidR="00C03370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>COFOG classification.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All levels of government in BiH use </w:t>
      </w:r>
      <w:r w:rsidR="00C03370" w:rsidRPr="003A78F3">
        <w:rPr>
          <w:rFonts w:cs="Calibri"/>
          <w:lang w:val="en-GB"/>
        </w:rPr>
        <w:t>a</w:t>
      </w:r>
      <w:r w:rsidRPr="003A78F3">
        <w:rPr>
          <w:rFonts w:cs="Calibri"/>
          <w:lang w:val="en-GB"/>
        </w:rPr>
        <w:t xml:space="preserve"> </w:t>
      </w:r>
      <w:r w:rsidR="00C03370" w:rsidRPr="003A78F3">
        <w:rPr>
          <w:rFonts w:cs="Calibri"/>
          <w:lang w:val="en-GB"/>
        </w:rPr>
        <w:t xml:space="preserve">harmonised </w:t>
      </w:r>
      <w:r w:rsidRPr="003A78F3">
        <w:rPr>
          <w:rFonts w:cs="Calibri"/>
          <w:lang w:val="en-GB"/>
        </w:rPr>
        <w:t>chart</w:t>
      </w:r>
      <w:r w:rsidR="00C03370" w:rsidRPr="003A78F3">
        <w:rPr>
          <w:rFonts w:cs="Calibri"/>
          <w:lang w:val="en-GB"/>
        </w:rPr>
        <w:t xml:space="preserve"> that is aligned</w:t>
      </w:r>
      <w:r w:rsidRPr="003A78F3">
        <w:rPr>
          <w:rFonts w:cs="Calibri"/>
          <w:lang w:val="en-GB"/>
        </w:rPr>
        <w:t xml:space="preserve"> with GFS (prepared by the IMF) </w:t>
      </w:r>
      <w:r w:rsidR="00C03370" w:rsidRPr="003A78F3">
        <w:rPr>
          <w:rFonts w:cs="Calibri"/>
          <w:lang w:val="en-GB"/>
        </w:rPr>
        <w:t>for the purposes of</w:t>
      </w:r>
      <w:r w:rsidRPr="003A78F3">
        <w:rPr>
          <w:rFonts w:cs="Calibri"/>
          <w:lang w:val="en-GB"/>
        </w:rPr>
        <w:t xml:space="preserve"> quarterly and annual reporting </w:t>
      </w:r>
      <w:r w:rsidR="00695F64">
        <w:rPr>
          <w:rFonts w:cs="Calibri"/>
          <w:lang w:val="en-GB"/>
        </w:rPr>
        <w:t>under</w:t>
      </w:r>
      <w:r w:rsidRPr="003A78F3">
        <w:rPr>
          <w:rFonts w:cs="Calibri"/>
          <w:lang w:val="en-GB"/>
        </w:rPr>
        <w:t xml:space="preserve"> SBA</w:t>
      </w:r>
      <w:r w:rsidR="00C03370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, but this form has not been adopted as an integral part of their Rules on </w:t>
      </w:r>
      <w:r w:rsidR="005D5F42" w:rsidRPr="003A78F3">
        <w:rPr>
          <w:rFonts w:cs="Calibri"/>
          <w:lang w:val="en-GB"/>
        </w:rPr>
        <w:t>Financial Reporting</w:t>
      </w:r>
      <w:r w:rsidRPr="003A78F3">
        <w:rPr>
          <w:rFonts w:cs="Calibri"/>
          <w:lang w:val="en-GB"/>
        </w:rPr>
        <w:t>.</w:t>
      </w:r>
    </w:p>
    <w:p w:rsidR="00051461" w:rsidRPr="003A78F3" w:rsidRDefault="00622566" w:rsidP="00403657">
      <w:pPr>
        <w:spacing w:before="240" w:after="0"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In addition to training sessions </w:t>
      </w:r>
      <w:r w:rsidR="005140E2" w:rsidRPr="003A78F3">
        <w:rPr>
          <w:rFonts w:cs="Calibri"/>
          <w:lang w:val="en-GB"/>
        </w:rPr>
        <w:t>organised</w:t>
      </w:r>
      <w:r w:rsidRPr="003A78F3">
        <w:rPr>
          <w:rFonts w:cs="Calibri"/>
          <w:lang w:val="en-GB"/>
        </w:rPr>
        <w:t xml:space="preserve"> </w:t>
      </w:r>
      <w:r w:rsidR="00326920" w:rsidRPr="003A78F3">
        <w:rPr>
          <w:rFonts w:cs="Calibri"/>
          <w:lang w:val="en-GB"/>
        </w:rPr>
        <w:t>under</w:t>
      </w:r>
      <w:r w:rsidRPr="003A78F3">
        <w:rPr>
          <w:rFonts w:cs="Calibri"/>
          <w:lang w:val="en-GB"/>
        </w:rPr>
        <w:t xml:space="preserve"> the project </w:t>
      </w:r>
      <w:r w:rsidR="00326920" w:rsidRPr="003A78F3">
        <w:rPr>
          <w:rFonts w:cs="Calibri"/>
          <w:lang w:val="en-GB"/>
        </w:rPr>
        <w:t>“</w:t>
      </w:r>
      <w:r w:rsidRPr="003A78F3">
        <w:rPr>
          <w:rFonts w:cs="Calibri"/>
          <w:lang w:val="en-GB"/>
        </w:rPr>
        <w:t xml:space="preserve">Strengthening </w:t>
      </w:r>
      <w:r w:rsidR="00326920" w:rsidRPr="003A78F3">
        <w:rPr>
          <w:rFonts w:cs="Calibri"/>
          <w:lang w:val="en-GB"/>
        </w:rPr>
        <w:t>Public Financial Management”,</w:t>
      </w:r>
      <w:r w:rsidRPr="003A78F3">
        <w:rPr>
          <w:rFonts w:cs="Calibri"/>
          <w:lang w:val="en-GB"/>
        </w:rPr>
        <w:t xml:space="preserve"> it is important to note that </w:t>
      </w:r>
      <w:r w:rsidR="00326920" w:rsidRPr="003A78F3">
        <w:rPr>
          <w:rFonts w:cs="Calibri"/>
          <w:lang w:val="en-GB"/>
        </w:rPr>
        <w:t xml:space="preserve">in 2014 </w:t>
      </w:r>
      <w:r w:rsidRPr="003A78F3">
        <w:rPr>
          <w:rFonts w:cs="Calibri"/>
          <w:lang w:val="en-GB"/>
        </w:rPr>
        <w:t xml:space="preserve">the </w:t>
      </w:r>
      <w:r w:rsidR="00326920" w:rsidRPr="003A78F3">
        <w:rPr>
          <w:rFonts w:cs="Calibri"/>
          <w:lang w:val="en-GB"/>
        </w:rPr>
        <w:t xml:space="preserve">EU-funded </w:t>
      </w:r>
      <w:r w:rsidRPr="003A78F3">
        <w:rPr>
          <w:rFonts w:cs="Calibri"/>
          <w:lang w:val="en-GB"/>
        </w:rPr>
        <w:t xml:space="preserve">project </w:t>
      </w:r>
      <w:r w:rsidR="00326920" w:rsidRPr="003A78F3">
        <w:rPr>
          <w:rFonts w:cs="Calibri"/>
          <w:lang w:val="en-GB"/>
        </w:rPr>
        <w:t>“Capacity Building for the compilation of accounting data within the scope of General Government and Public Finance Statistics”</w:t>
      </w:r>
      <w:r w:rsidRPr="003A78F3">
        <w:rPr>
          <w:rFonts w:cs="Calibri"/>
          <w:lang w:val="en-GB"/>
        </w:rPr>
        <w:t xml:space="preserve"> held a series of training sessions for </w:t>
      </w:r>
      <w:r w:rsidR="00326920" w:rsidRPr="003A78F3">
        <w:rPr>
          <w:rFonts w:cs="Calibri"/>
          <w:lang w:val="en-GB"/>
        </w:rPr>
        <w:t>project beneficiaries</w:t>
      </w:r>
      <w:r w:rsidRPr="003A78F3">
        <w:rPr>
          <w:rFonts w:cs="Calibri"/>
          <w:lang w:val="en-GB"/>
        </w:rPr>
        <w:t xml:space="preserve"> (three ministries of </w:t>
      </w:r>
      <w:r w:rsidR="00326920" w:rsidRPr="003A78F3">
        <w:rPr>
          <w:rFonts w:cs="Calibri"/>
          <w:lang w:val="en-GB"/>
        </w:rPr>
        <w:t>f</w:t>
      </w:r>
      <w:r w:rsidRPr="003A78F3">
        <w:rPr>
          <w:rFonts w:cs="Calibri"/>
          <w:lang w:val="en-GB"/>
        </w:rPr>
        <w:t xml:space="preserve">inance and </w:t>
      </w:r>
      <w:r w:rsidR="00326920" w:rsidRPr="003A78F3">
        <w:rPr>
          <w:rFonts w:cs="Calibri"/>
          <w:lang w:val="en-GB"/>
        </w:rPr>
        <w:t xml:space="preserve">the BD </w:t>
      </w:r>
      <w:r w:rsidRPr="003A78F3">
        <w:rPr>
          <w:rFonts w:cs="Calibri"/>
          <w:lang w:val="en-GB"/>
        </w:rPr>
        <w:t xml:space="preserve">Finance Directorate) in the area of ​​reporting to the GFS and the ESA95 (European </w:t>
      </w:r>
      <w:r w:rsidR="00326920" w:rsidRPr="003A78F3">
        <w:rPr>
          <w:rFonts w:cs="Calibri"/>
          <w:lang w:val="en-GB"/>
        </w:rPr>
        <w:t xml:space="preserve">System </w:t>
      </w:r>
      <w:r w:rsidRPr="003A78F3">
        <w:rPr>
          <w:rFonts w:cs="Calibri"/>
          <w:lang w:val="en-GB"/>
        </w:rPr>
        <w:t xml:space="preserve">of </w:t>
      </w:r>
      <w:r w:rsidR="00326920" w:rsidRPr="003A78F3">
        <w:rPr>
          <w:rFonts w:cs="Calibri"/>
          <w:lang w:val="en-GB"/>
        </w:rPr>
        <w:t xml:space="preserve">National </w:t>
      </w:r>
      <w:r w:rsidRPr="003A78F3">
        <w:rPr>
          <w:rFonts w:cs="Calibri"/>
          <w:lang w:val="en-GB"/>
        </w:rPr>
        <w:t xml:space="preserve">and </w:t>
      </w:r>
      <w:r w:rsidR="00326920" w:rsidRPr="003A78F3">
        <w:rPr>
          <w:rFonts w:cs="Calibri"/>
          <w:lang w:val="en-GB"/>
        </w:rPr>
        <w:t xml:space="preserve">Regional Accounts </w:t>
      </w:r>
      <w:r w:rsidRPr="003A78F3">
        <w:rPr>
          <w:rFonts w:cs="Calibri"/>
          <w:lang w:val="en-GB"/>
        </w:rPr>
        <w:t>95).</w:t>
      </w:r>
    </w:p>
    <w:p w:rsidR="00051461" w:rsidRPr="003A78F3" w:rsidRDefault="00051461" w:rsidP="00403657">
      <w:pPr>
        <w:spacing w:after="0" w:line="240" w:lineRule="auto"/>
        <w:jc w:val="both"/>
        <w:rPr>
          <w:rFonts w:cs="Calibri"/>
          <w:lang w:val="en-GB"/>
        </w:rPr>
      </w:pPr>
    </w:p>
    <w:p w:rsidR="00A97C31" w:rsidRPr="003A78F3" w:rsidRDefault="00622566" w:rsidP="00403657">
      <w:pPr>
        <w:pStyle w:val="Heading3"/>
        <w:spacing w:before="0"/>
        <w:rPr>
          <w:rFonts w:ascii="Calibri" w:hAnsi="Calibri" w:cs="Calibri"/>
          <w:lang w:val="en-GB"/>
        </w:rPr>
      </w:pPr>
      <w:bookmarkStart w:id="15" w:name="_Toc445049557"/>
      <w:bookmarkStart w:id="16" w:name="_Toc473971990"/>
      <w:r w:rsidRPr="003A78F3">
        <w:rPr>
          <w:rFonts w:ascii="Calibri" w:hAnsi="Calibri" w:cs="Calibri"/>
          <w:lang w:val="en-GB"/>
        </w:rPr>
        <w:t xml:space="preserve">1.5 </w:t>
      </w:r>
      <w:r w:rsidR="005140E2" w:rsidRPr="003A78F3">
        <w:rPr>
          <w:rFonts w:ascii="Calibri" w:hAnsi="Calibri" w:cs="Calibri"/>
          <w:lang w:val="en-GB"/>
        </w:rPr>
        <w:t>Inclusion</w:t>
      </w:r>
      <w:r w:rsidRPr="003A78F3">
        <w:rPr>
          <w:rFonts w:ascii="Calibri" w:hAnsi="Calibri" w:cs="Calibri"/>
          <w:lang w:val="en-GB"/>
        </w:rPr>
        <w:t xml:space="preserve"> of </w:t>
      </w:r>
      <w:r w:rsidR="005140E2" w:rsidRPr="003A78F3">
        <w:rPr>
          <w:rFonts w:ascii="Calibri" w:hAnsi="Calibri" w:cs="Calibri"/>
          <w:lang w:val="en-GB"/>
        </w:rPr>
        <w:t>extra-</w:t>
      </w:r>
      <w:r w:rsidRPr="003A78F3">
        <w:rPr>
          <w:rFonts w:ascii="Calibri" w:hAnsi="Calibri" w:cs="Calibri"/>
          <w:lang w:val="en-GB"/>
        </w:rPr>
        <w:t>budget</w:t>
      </w:r>
      <w:r w:rsidR="005140E2" w:rsidRPr="003A78F3">
        <w:rPr>
          <w:rFonts w:ascii="Calibri" w:hAnsi="Calibri" w:cs="Calibri"/>
          <w:lang w:val="en-GB"/>
        </w:rPr>
        <w:t>ary</w:t>
      </w:r>
      <w:r w:rsidRPr="003A78F3">
        <w:rPr>
          <w:rFonts w:ascii="Calibri" w:hAnsi="Calibri" w:cs="Calibri"/>
          <w:lang w:val="en-GB"/>
        </w:rPr>
        <w:t xml:space="preserve"> funds in the medium-term expenditure framework and budget process</w:t>
      </w:r>
      <w:bookmarkEnd w:id="15"/>
      <w:bookmarkEnd w:id="16"/>
    </w:p>
    <w:p w:rsidR="00A97C31" w:rsidRPr="003A78F3" w:rsidRDefault="00A97C31" w:rsidP="00403657">
      <w:pPr>
        <w:spacing w:after="0" w:line="240" w:lineRule="auto"/>
        <w:jc w:val="both"/>
        <w:rPr>
          <w:rFonts w:cs="Calibri"/>
          <w:lang w:val="en-GB"/>
        </w:rPr>
      </w:pPr>
    </w:p>
    <w:p w:rsidR="00A97C31" w:rsidRPr="003A78F3" w:rsidRDefault="005140E2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Law on </w:t>
      </w:r>
      <w:r w:rsidR="00695F64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Budget System of RS, which was adopted in December 2012, </w:t>
      </w:r>
      <w:r w:rsidRPr="003A78F3">
        <w:rPr>
          <w:rFonts w:cs="Calibri"/>
          <w:lang w:val="en-GB"/>
        </w:rPr>
        <w:t>governs</w:t>
      </w:r>
      <w:r w:rsidR="00622566" w:rsidRPr="003A78F3">
        <w:rPr>
          <w:rFonts w:cs="Calibri"/>
          <w:lang w:val="en-GB"/>
        </w:rPr>
        <w:t xml:space="preserve"> the </w:t>
      </w:r>
      <w:r w:rsidRPr="003A78F3">
        <w:rPr>
          <w:rFonts w:cs="Calibri"/>
          <w:lang w:val="en-GB"/>
        </w:rPr>
        <w:t xml:space="preserve">preparation, </w:t>
      </w:r>
      <w:r w:rsidR="0056310A"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planning, </w:t>
      </w:r>
      <w:r w:rsidR="0056310A"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method of </w:t>
      </w:r>
      <w:r w:rsidR="0056310A" w:rsidRPr="003A78F3">
        <w:rPr>
          <w:rFonts w:cs="Calibri"/>
          <w:lang w:val="en-GB"/>
        </w:rPr>
        <w:t>drafting</w:t>
      </w:r>
      <w:r w:rsidR="00622566" w:rsidRPr="003A78F3">
        <w:rPr>
          <w:rFonts w:cs="Calibri"/>
          <w:lang w:val="en-GB"/>
        </w:rPr>
        <w:t xml:space="preserve">, </w:t>
      </w:r>
      <w:r w:rsidR="0056310A"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adoption and </w:t>
      </w:r>
      <w:r w:rsidR="0056310A" w:rsidRPr="003A78F3">
        <w:rPr>
          <w:rFonts w:cs="Calibri"/>
          <w:lang w:val="en-GB"/>
        </w:rPr>
        <w:t>the execution</w:t>
      </w:r>
      <w:r w:rsidR="00622566" w:rsidRPr="003A78F3">
        <w:rPr>
          <w:rFonts w:cs="Calibri"/>
          <w:lang w:val="en-GB"/>
        </w:rPr>
        <w:t xml:space="preserve"> of the budget of RS, </w:t>
      </w:r>
      <w:r w:rsidR="0056310A" w:rsidRPr="003A78F3">
        <w:rPr>
          <w:rFonts w:cs="Calibri"/>
          <w:lang w:val="en-GB"/>
        </w:rPr>
        <w:t xml:space="preserve">the budgets of </w:t>
      </w:r>
      <w:r w:rsidR="00210BDB" w:rsidRPr="003A78F3">
        <w:rPr>
          <w:rFonts w:cs="Calibri"/>
          <w:lang w:val="en-GB"/>
        </w:rPr>
        <w:t>local governments</w:t>
      </w:r>
      <w:r w:rsidR="0056310A" w:rsidRPr="003A78F3">
        <w:rPr>
          <w:rFonts w:cs="Calibri"/>
          <w:lang w:val="en-GB"/>
        </w:rPr>
        <w:t xml:space="preserve"> and</w:t>
      </w:r>
      <w:r w:rsidR="00622566" w:rsidRPr="003A78F3">
        <w:rPr>
          <w:rFonts w:cs="Calibri"/>
          <w:lang w:val="en-GB"/>
        </w:rPr>
        <w:t xml:space="preserve"> extra-budgetary funds, </w:t>
      </w:r>
      <w:r w:rsidR="0056310A"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borrowing and debt repayment, accounting, reporting and control of budget of </w:t>
      </w:r>
      <w:r w:rsidR="0056310A" w:rsidRPr="003A78F3">
        <w:rPr>
          <w:rFonts w:cs="Calibri"/>
          <w:lang w:val="en-GB"/>
        </w:rPr>
        <w:t xml:space="preserve">the Republic, of </w:t>
      </w:r>
      <w:r w:rsidR="00210BDB" w:rsidRPr="003A78F3">
        <w:rPr>
          <w:rFonts w:cs="Calibri"/>
          <w:lang w:val="en-GB"/>
        </w:rPr>
        <w:t>local governments</w:t>
      </w:r>
      <w:r w:rsidR="0056310A" w:rsidRPr="003A78F3">
        <w:rPr>
          <w:rFonts w:cs="Calibri"/>
          <w:lang w:val="en-GB"/>
        </w:rPr>
        <w:t xml:space="preserve">, and of the </w:t>
      </w:r>
      <w:r w:rsidR="001B50E2" w:rsidRPr="003A78F3">
        <w:rPr>
          <w:rFonts w:cs="Calibri"/>
          <w:lang w:val="en-GB"/>
        </w:rPr>
        <w:t>extra-budgetary</w:t>
      </w:r>
      <w:r w:rsidR="00622566" w:rsidRPr="003A78F3">
        <w:rPr>
          <w:rFonts w:cs="Calibri"/>
          <w:lang w:val="en-GB"/>
        </w:rPr>
        <w:t xml:space="preserve"> funds. The budget system </w:t>
      </w:r>
      <w:r w:rsidR="00EE4620" w:rsidRPr="003A78F3">
        <w:rPr>
          <w:rFonts w:cs="Calibri"/>
          <w:lang w:val="en-GB"/>
        </w:rPr>
        <w:t xml:space="preserve">of </w:t>
      </w:r>
      <w:r w:rsidR="00622566" w:rsidRPr="003A78F3">
        <w:rPr>
          <w:rFonts w:cs="Calibri"/>
          <w:lang w:val="en-GB"/>
        </w:rPr>
        <w:t xml:space="preserve">RS </w:t>
      </w:r>
      <w:r w:rsidR="0056310A" w:rsidRPr="003A78F3">
        <w:rPr>
          <w:rFonts w:cs="Calibri"/>
          <w:lang w:val="en-GB"/>
        </w:rPr>
        <w:t>consists of the b</w:t>
      </w:r>
      <w:r w:rsidR="00622566" w:rsidRPr="003A78F3">
        <w:rPr>
          <w:rFonts w:cs="Calibri"/>
          <w:lang w:val="en-GB"/>
        </w:rPr>
        <w:t xml:space="preserve">udget </w:t>
      </w:r>
      <w:r w:rsidR="0056310A" w:rsidRPr="003A78F3">
        <w:rPr>
          <w:rFonts w:cs="Calibri"/>
          <w:lang w:val="en-GB"/>
        </w:rPr>
        <w:t xml:space="preserve">of the Republic, the budgets of </w:t>
      </w:r>
      <w:r w:rsidR="00210BDB" w:rsidRPr="003A78F3">
        <w:rPr>
          <w:rFonts w:cs="Calibri"/>
          <w:lang w:val="en-GB"/>
        </w:rPr>
        <w:t>local governments</w:t>
      </w:r>
      <w:r w:rsidR="0056310A" w:rsidRPr="003A78F3">
        <w:rPr>
          <w:rFonts w:cs="Calibri"/>
          <w:lang w:val="en-GB"/>
        </w:rPr>
        <w:t xml:space="preserve"> and the budgets of extra-budgetary funds.</w:t>
      </w:r>
      <w:r w:rsidR="00622566" w:rsidRPr="003A78F3">
        <w:rPr>
          <w:rFonts w:cs="Calibri"/>
          <w:lang w:val="en-GB"/>
        </w:rPr>
        <w:t xml:space="preserve"> </w:t>
      </w:r>
      <w:r w:rsidR="0056310A" w:rsidRPr="003A78F3">
        <w:rPr>
          <w:rFonts w:cs="Calibri"/>
          <w:lang w:val="en-GB"/>
        </w:rPr>
        <w:t>As at 31 December 2014 n</w:t>
      </w:r>
      <w:r w:rsidR="00622566" w:rsidRPr="003A78F3">
        <w:rPr>
          <w:rFonts w:cs="Calibri"/>
          <w:lang w:val="en-GB"/>
        </w:rPr>
        <w:t>one of the extra-budgetary fund</w:t>
      </w:r>
      <w:r w:rsidR="0056310A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 in RS </w:t>
      </w:r>
      <w:r w:rsidR="00EE4620" w:rsidRPr="003A78F3">
        <w:rPr>
          <w:rFonts w:cs="Calibri"/>
          <w:lang w:val="en-GB"/>
        </w:rPr>
        <w:t>wa</w:t>
      </w:r>
      <w:r w:rsidR="00622566" w:rsidRPr="003A78F3">
        <w:rPr>
          <w:rFonts w:cs="Calibri"/>
          <w:lang w:val="en-GB"/>
        </w:rPr>
        <w:t>s included in the treasury system.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Government of RS prepares </w:t>
      </w:r>
      <w:r w:rsidR="001B50E2" w:rsidRPr="003A78F3">
        <w:rPr>
          <w:rFonts w:cs="Calibri"/>
          <w:lang w:val="en-GB"/>
        </w:rPr>
        <w:t>BFP</w:t>
      </w:r>
      <w:r w:rsidRPr="003A78F3">
        <w:rPr>
          <w:rFonts w:cs="Calibri"/>
          <w:lang w:val="en-GB"/>
        </w:rPr>
        <w:t xml:space="preserve"> and includes projections for local governments and </w:t>
      </w:r>
      <w:r w:rsidR="001B50E2" w:rsidRPr="003A78F3">
        <w:rPr>
          <w:rFonts w:cs="Calibri"/>
          <w:lang w:val="en-GB"/>
        </w:rPr>
        <w:t>extra-budgetary</w:t>
      </w:r>
      <w:r w:rsidRPr="003A78F3">
        <w:rPr>
          <w:rFonts w:cs="Calibri"/>
          <w:lang w:val="en-GB"/>
        </w:rPr>
        <w:t xml:space="preserve"> funds. Local governments in RS do not prepare their own </w:t>
      </w:r>
      <w:r w:rsidR="001B50E2" w:rsidRPr="003A78F3">
        <w:rPr>
          <w:rFonts w:cs="Calibri"/>
          <w:lang w:val="en-GB"/>
        </w:rPr>
        <w:t>BFP</w:t>
      </w:r>
      <w:r w:rsidR="00210BDB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, unlike </w:t>
      </w:r>
      <w:r w:rsidR="00210BDB" w:rsidRPr="003A78F3">
        <w:rPr>
          <w:rFonts w:cs="Calibri"/>
          <w:lang w:val="en-GB"/>
        </w:rPr>
        <w:t>FBiH; instead,</w:t>
      </w:r>
      <w:r w:rsidRPr="003A78F3">
        <w:rPr>
          <w:rFonts w:cs="Calibri"/>
          <w:lang w:val="en-GB"/>
        </w:rPr>
        <w:t xml:space="preserve"> </w:t>
      </w:r>
      <w:r w:rsidR="00210BDB" w:rsidRPr="003A78F3">
        <w:rPr>
          <w:rFonts w:cs="Calibri"/>
          <w:lang w:val="en-GB"/>
        </w:rPr>
        <w:t>they consult</w:t>
      </w:r>
      <w:r w:rsidRPr="003A78F3">
        <w:rPr>
          <w:rFonts w:cs="Calibri"/>
          <w:lang w:val="en-GB"/>
        </w:rPr>
        <w:t xml:space="preserve"> with the Ministry of Finance </w:t>
      </w:r>
      <w:r w:rsidR="00066DA0">
        <w:rPr>
          <w:rFonts w:cs="Calibri"/>
          <w:lang w:val="en-GB"/>
        </w:rPr>
        <w:t xml:space="preserve">of </w:t>
      </w:r>
      <w:r w:rsidRPr="003A78F3">
        <w:rPr>
          <w:rFonts w:cs="Calibri"/>
          <w:lang w:val="en-GB"/>
        </w:rPr>
        <w:t>RS during the preparation of the</w:t>
      </w:r>
      <w:r w:rsidR="00210BDB" w:rsidRPr="003A78F3">
        <w:rPr>
          <w:rFonts w:cs="Calibri"/>
          <w:lang w:val="en-GB"/>
        </w:rPr>
        <w:t>ir</w:t>
      </w:r>
      <w:r w:rsidRPr="003A78F3">
        <w:rPr>
          <w:rFonts w:cs="Calibri"/>
          <w:lang w:val="en-GB"/>
        </w:rPr>
        <w:t xml:space="preserve"> annual budget</w:t>
      </w:r>
      <w:r w:rsidR="00210BDB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 </w:t>
      </w:r>
      <w:r w:rsidR="00210BDB" w:rsidRPr="003A78F3">
        <w:rPr>
          <w:rFonts w:cs="Calibri"/>
          <w:lang w:val="en-GB"/>
        </w:rPr>
        <w:t xml:space="preserve">about </w:t>
      </w:r>
      <w:r w:rsidRPr="003A78F3">
        <w:rPr>
          <w:rFonts w:cs="Calibri"/>
          <w:lang w:val="en-GB"/>
        </w:rPr>
        <w:t xml:space="preserve">ceilings for projected </w:t>
      </w:r>
      <w:r w:rsidR="00210BDB" w:rsidRPr="003A78F3">
        <w:rPr>
          <w:rFonts w:cs="Calibri"/>
          <w:lang w:val="en-GB"/>
        </w:rPr>
        <w:t>revenues</w:t>
      </w:r>
      <w:r w:rsidRPr="003A78F3">
        <w:rPr>
          <w:rFonts w:cs="Calibri"/>
          <w:lang w:val="en-GB"/>
        </w:rPr>
        <w:t xml:space="preserve"> and the structure of budgetary spending.</w:t>
      </w:r>
    </w:p>
    <w:p w:rsidR="00A97C31" w:rsidRPr="003A78F3" w:rsidRDefault="00210BDB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2014-2017 </w:t>
      </w:r>
      <w:r w:rsidR="001B50E2" w:rsidRPr="003A78F3">
        <w:rPr>
          <w:rFonts w:cs="Calibri"/>
          <w:lang w:val="en-GB"/>
        </w:rPr>
        <w:t>BFP</w:t>
      </w:r>
      <w:r w:rsidRPr="003A78F3">
        <w:rPr>
          <w:rFonts w:cs="Calibri"/>
          <w:lang w:val="en-GB"/>
        </w:rPr>
        <w:t xml:space="preserve"> of</w:t>
      </w:r>
      <w:r w:rsidR="00622566" w:rsidRPr="003A78F3">
        <w:rPr>
          <w:rFonts w:cs="Calibri"/>
          <w:lang w:val="en-GB"/>
        </w:rPr>
        <w:t xml:space="preserve"> FBiH includes revenue projections </w:t>
      </w:r>
      <w:r w:rsidRPr="003A78F3">
        <w:rPr>
          <w:rFonts w:cs="Calibri"/>
          <w:lang w:val="en-GB"/>
        </w:rPr>
        <w:t>for:</w:t>
      </w:r>
      <w:r w:rsidR="00622566" w:rsidRPr="003A78F3">
        <w:rPr>
          <w:rFonts w:cs="Calibri"/>
          <w:lang w:val="en-GB"/>
        </w:rPr>
        <w:t xml:space="preserve"> the budget of FBiH, </w:t>
      </w:r>
      <w:r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budgets of </w:t>
      </w:r>
      <w:r w:rsidR="00622566" w:rsidRPr="003A78F3">
        <w:rPr>
          <w:rFonts w:cs="Calibri"/>
          <w:lang w:val="en-GB"/>
        </w:rPr>
        <w:lastRenderedPageBreak/>
        <w:t>cantons and local government</w:t>
      </w:r>
      <w:r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, </w:t>
      </w:r>
      <w:r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budgets of extra-budgetary funds (primarily </w:t>
      </w:r>
      <w:r w:rsidRPr="003A78F3">
        <w:rPr>
          <w:rFonts w:cs="Calibri"/>
          <w:lang w:val="en-GB"/>
        </w:rPr>
        <w:t>the Pension and Disability Insurance Fund</w:t>
      </w:r>
      <w:r w:rsidR="00622566" w:rsidRPr="003A78F3">
        <w:rPr>
          <w:rFonts w:cs="Calibri"/>
          <w:lang w:val="en-GB"/>
        </w:rPr>
        <w:t xml:space="preserve">, the Health Insurance Fund and </w:t>
      </w:r>
      <w:r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>Employment</w:t>
      </w:r>
      <w:r w:rsidRPr="003A78F3">
        <w:rPr>
          <w:rFonts w:cs="Calibri"/>
          <w:lang w:val="en-GB"/>
        </w:rPr>
        <w:t xml:space="preserve"> Office</w:t>
      </w:r>
      <w:r w:rsidR="00622566" w:rsidRPr="003A78F3">
        <w:rPr>
          <w:rFonts w:cs="Calibri"/>
          <w:lang w:val="en-GB"/>
        </w:rPr>
        <w:t xml:space="preserve">) and the </w:t>
      </w:r>
      <w:r w:rsidRPr="003A78F3">
        <w:rPr>
          <w:rFonts w:cs="Calibri"/>
          <w:lang w:val="en-GB"/>
        </w:rPr>
        <w:t>funds</w:t>
      </w:r>
      <w:r w:rsidR="00622566" w:rsidRPr="003A78F3">
        <w:rPr>
          <w:rFonts w:cs="Calibri"/>
          <w:lang w:val="en-GB"/>
        </w:rPr>
        <w:t xml:space="preserve"> of public </w:t>
      </w:r>
      <w:r w:rsidRPr="003A78F3">
        <w:rPr>
          <w:rFonts w:cs="Calibri"/>
          <w:lang w:val="en-GB"/>
        </w:rPr>
        <w:t>enterprises</w:t>
      </w:r>
      <w:r w:rsidR="00622566" w:rsidRPr="003A78F3">
        <w:rPr>
          <w:rFonts w:cs="Calibri"/>
          <w:lang w:val="en-GB"/>
        </w:rPr>
        <w:t xml:space="preserve"> that are collected as public revenue</w:t>
      </w:r>
      <w:r w:rsidR="00066DA0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>from</w:t>
      </w:r>
      <w:r w:rsidR="00622566" w:rsidRPr="003A78F3">
        <w:rPr>
          <w:rFonts w:cs="Calibri"/>
          <w:lang w:val="en-GB"/>
        </w:rPr>
        <w:t xml:space="preserve"> special fees prescribed by law. As </w:t>
      </w:r>
      <w:r w:rsidRPr="003A78F3">
        <w:rPr>
          <w:rFonts w:cs="Calibri"/>
          <w:lang w:val="en-GB"/>
        </w:rPr>
        <w:t>regards</w:t>
      </w:r>
      <w:r w:rsidR="00622566" w:rsidRPr="003A78F3">
        <w:rPr>
          <w:rFonts w:cs="Calibri"/>
          <w:lang w:val="en-GB"/>
        </w:rPr>
        <w:t xml:space="preserve"> public expenditure management</w:t>
      </w:r>
      <w:r w:rsidRPr="003A78F3">
        <w:rPr>
          <w:rFonts w:cs="Calibri"/>
          <w:lang w:val="en-GB"/>
        </w:rPr>
        <w:t>, the</w:t>
      </w:r>
      <w:r w:rsidR="00622566" w:rsidRPr="003A78F3">
        <w:rPr>
          <w:rFonts w:cs="Calibri"/>
          <w:lang w:val="en-GB"/>
        </w:rPr>
        <w:t xml:space="preserve"> </w:t>
      </w:r>
      <w:r w:rsidR="001B50E2" w:rsidRPr="003A78F3">
        <w:rPr>
          <w:rFonts w:cs="Calibri"/>
          <w:lang w:val="en-GB"/>
        </w:rPr>
        <w:t>BFP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 xml:space="preserve">of FBiH </w:t>
      </w:r>
      <w:r w:rsidR="00622566" w:rsidRPr="003A78F3">
        <w:rPr>
          <w:rFonts w:cs="Calibri"/>
          <w:lang w:val="en-GB"/>
        </w:rPr>
        <w:t xml:space="preserve">is focused on expenditures of the Government of FBiH, </w:t>
      </w:r>
      <w:r w:rsidR="008E4232" w:rsidRPr="003A78F3">
        <w:rPr>
          <w:rFonts w:cs="Calibri"/>
          <w:lang w:val="en-GB"/>
        </w:rPr>
        <w:t>whereas</w:t>
      </w:r>
      <w:r w:rsidR="00622566" w:rsidRPr="003A78F3">
        <w:rPr>
          <w:rFonts w:cs="Calibri"/>
          <w:lang w:val="en-GB"/>
        </w:rPr>
        <w:t xml:space="preserve"> other levels of government prepare their </w:t>
      </w:r>
      <w:r w:rsidR="001B50E2" w:rsidRPr="003A78F3">
        <w:rPr>
          <w:rFonts w:cs="Calibri"/>
          <w:lang w:val="en-GB"/>
        </w:rPr>
        <w:t>BFP</w:t>
      </w:r>
      <w:r w:rsidR="008E4232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 and determine the structure of budgetary spending for their </w:t>
      </w:r>
      <w:r w:rsidR="008E4232" w:rsidRPr="003A78F3">
        <w:rPr>
          <w:rFonts w:cs="Calibri"/>
          <w:lang w:val="en-GB"/>
        </w:rPr>
        <w:t xml:space="preserve">respective </w:t>
      </w:r>
      <w:r w:rsidR="00622566" w:rsidRPr="003A78F3">
        <w:rPr>
          <w:rFonts w:cs="Calibri"/>
          <w:lang w:val="en-GB"/>
        </w:rPr>
        <w:t>level</w:t>
      </w:r>
      <w:r w:rsidR="008E4232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 of government.</w:t>
      </w:r>
    </w:p>
    <w:p w:rsidR="00A97C31" w:rsidRPr="003A78F3" w:rsidRDefault="00622566" w:rsidP="00403657">
      <w:pPr>
        <w:spacing w:after="0"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When planning a budget for </w:t>
      </w:r>
      <w:r w:rsidR="008E4232" w:rsidRPr="003A78F3">
        <w:rPr>
          <w:rFonts w:cs="Calibri"/>
          <w:lang w:val="en-GB"/>
        </w:rPr>
        <w:t>a</w:t>
      </w:r>
      <w:r w:rsidRPr="003A78F3">
        <w:rPr>
          <w:rFonts w:cs="Calibri"/>
          <w:lang w:val="en-GB"/>
        </w:rPr>
        <w:t xml:space="preserve"> fiscal year, all levels of government </w:t>
      </w:r>
      <w:r w:rsidR="008E4232" w:rsidRPr="003A78F3">
        <w:rPr>
          <w:rFonts w:cs="Calibri"/>
          <w:lang w:val="en-GB"/>
        </w:rPr>
        <w:t>include</w:t>
      </w:r>
      <w:r w:rsidRPr="003A78F3">
        <w:rPr>
          <w:rFonts w:cs="Calibri"/>
          <w:lang w:val="en-GB"/>
        </w:rPr>
        <w:t xml:space="preserve"> known and </w:t>
      </w:r>
      <w:r w:rsidR="008E4232" w:rsidRPr="003A78F3">
        <w:rPr>
          <w:rFonts w:cs="Calibri"/>
          <w:lang w:val="en-GB"/>
        </w:rPr>
        <w:t>certain</w:t>
      </w:r>
      <w:r w:rsidRPr="003A78F3">
        <w:rPr>
          <w:rFonts w:cs="Calibri"/>
          <w:lang w:val="en-GB"/>
        </w:rPr>
        <w:t xml:space="preserve"> </w:t>
      </w:r>
      <w:r w:rsidR="008E4232" w:rsidRPr="003A78F3">
        <w:rPr>
          <w:rFonts w:cs="Calibri"/>
          <w:lang w:val="en-GB"/>
        </w:rPr>
        <w:t>grants</w:t>
      </w:r>
      <w:r w:rsidRPr="003A78F3">
        <w:rPr>
          <w:rFonts w:cs="Calibri"/>
          <w:lang w:val="en-GB"/>
        </w:rPr>
        <w:t xml:space="preserve">. </w:t>
      </w:r>
      <w:r w:rsidR="008E4232" w:rsidRPr="003A78F3">
        <w:rPr>
          <w:rFonts w:cs="Calibri"/>
          <w:lang w:val="en-GB"/>
        </w:rPr>
        <w:t>Grants</w:t>
      </w:r>
      <w:r w:rsidRPr="003A78F3">
        <w:rPr>
          <w:rFonts w:cs="Calibri"/>
          <w:lang w:val="en-GB"/>
        </w:rPr>
        <w:t xml:space="preserve"> </w:t>
      </w:r>
      <w:r w:rsidR="008E4232" w:rsidRPr="003A78F3">
        <w:rPr>
          <w:rFonts w:cs="Calibri"/>
          <w:lang w:val="en-GB"/>
        </w:rPr>
        <w:t>received</w:t>
      </w:r>
      <w:r w:rsidRPr="003A78F3">
        <w:rPr>
          <w:rFonts w:cs="Calibri"/>
          <w:lang w:val="en-GB"/>
        </w:rPr>
        <w:t xml:space="preserve"> after the adoption of the budget </w:t>
      </w:r>
      <w:r w:rsidR="00C4359C" w:rsidRPr="003A78F3">
        <w:rPr>
          <w:rFonts w:cs="Calibri"/>
          <w:lang w:val="en-GB"/>
        </w:rPr>
        <w:t xml:space="preserve">are recorded in </w:t>
      </w:r>
      <w:r w:rsidRPr="003A78F3">
        <w:rPr>
          <w:rFonts w:cs="Calibri"/>
          <w:lang w:val="en-GB"/>
        </w:rPr>
        <w:t>accounting and are subject to financial reporting in accordance with the reporting rules of each level of government.</w:t>
      </w:r>
    </w:p>
    <w:p w:rsidR="00A97C31" w:rsidRPr="003A78F3" w:rsidRDefault="00A97C31" w:rsidP="00403657">
      <w:pPr>
        <w:spacing w:after="0" w:line="240" w:lineRule="auto"/>
        <w:jc w:val="both"/>
        <w:rPr>
          <w:rFonts w:cs="Calibri"/>
          <w:lang w:val="en-GB"/>
        </w:rPr>
      </w:pPr>
    </w:p>
    <w:p w:rsidR="00A97C31" w:rsidRPr="003A78F3" w:rsidRDefault="00622566" w:rsidP="00403657">
      <w:pPr>
        <w:pStyle w:val="Heading2"/>
        <w:rPr>
          <w:rFonts w:ascii="Calibri" w:hAnsi="Calibri" w:cs="Calibri"/>
          <w:lang w:val="en-GB"/>
        </w:rPr>
      </w:pPr>
      <w:bookmarkStart w:id="17" w:name="_Toc445049558"/>
      <w:bookmarkStart w:id="18" w:name="_Toc473971991"/>
      <w:r w:rsidRPr="003A78F3">
        <w:rPr>
          <w:rFonts w:ascii="Calibri" w:hAnsi="Calibri" w:cs="Calibri"/>
          <w:lang w:val="en-GB"/>
        </w:rPr>
        <w:t xml:space="preserve">2. Improving </w:t>
      </w:r>
      <w:bookmarkEnd w:id="17"/>
      <w:r w:rsidR="00C4359C" w:rsidRPr="003A78F3">
        <w:rPr>
          <w:rFonts w:ascii="Calibri" w:hAnsi="Calibri" w:cs="Calibri"/>
          <w:lang w:val="en-GB"/>
        </w:rPr>
        <w:t>the accounting framework and the treasury system operations</w:t>
      </w:r>
      <w:bookmarkEnd w:id="18"/>
    </w:p>
    <w:p w:rsidR="00A97C31" w:rsidRPr="003A78F3" w:rsidRDefault="00A97C31" w:rsidP="00403657">
      <w:pPr>
        <w:spacing w:after="0" w:line="240" w:lineRule="auto"/>
        <w:jc w:val="both"/>
        <w:rPr>
          <w:rFonts w:cs="Calibri"/>
          <w:lang w:val="en-GB"/>
        </w:rPr>
      </w:pPr>
    </w:p>
    <w:p w:rsidR="00A97C31" w:rsidRPr="003A78F3" w:rsidRDefault="00C4359C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By adopting the International Public Sector Accounting Standard (IPSAS) 23 – Revenue from Non-Exchange Transactions</w:t>
      </w:r>
      <w:r w:rsidR="000A5523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>(Taxes and Transfers)</w:t>
      </w:r>
      <w:r w:rsidR="000A5523" w:rsidRPr="003A78F3">
        <w:rPr>
          <w:rFonts w:cs="Calibri"/>
          <w:lang w:val="en-GB"/>
        </w:rPr>
        <w:t>,</w:t>
      </w:r>
      <w:r w:rsidRPr="003A78F3">
        <w:rPr>
          <w:rFonts w:cs="Calibri"/>
          <w:lang w:val="en-GB"/>
        </w:rPr>
        <w:t xml:space="preserve"> </w:t>
      </w:r>
      <w:r w:rsidR="00622566" w:rsidRPr="003A78F3">
        <w:rPr>
          <w:rFonts w:cs="Calibri"/>
          <w:lang w:val="en-GB"/>
        </w:rPr>
        <w:t xml:space="preserve">RS began to </w:t>
      </w:r>
      <w:r w:rsidR="000A5523" w:rsidRPr="003A78F3">
        <w:rPr>
          <w:rFonts w:cs="Calibri"/>
          <w:lang w:val="en-GB"/>
        </w:rPr>
        <w:t xml:space="preserve">implement accrual accounting </w:t>
      </w:r>
      <w:r w:rsidR="005440C8" w:rsidRPr="003A78F3">
        <w:rPr>
          <w:rFonts w:cs="Calibri"/>
          <w:lang w:val="en-GB"/>
        </w:rPr>
        <w:t>from</w:t>
      </w:r>
      <w:r w:rsidR="000A5523" w:rsidRPr="003A78F3">
        <w:rPr>
          <w:rFonts w:cs="Calibri"/>
          <w:lang w:val="en-GB"/>
        </w:rPr>
        <w:t xml:space="preserve"> 1 January </w:t>
      </w:r>
      <w:r w:rsidR="00622566" w:rsidRPr="003A78F3">
        <w:rPr>
          <w:rFonts w:cs="Calibri"/>
          <w:lang w:val="en-GB"/>
        </w:rPr>
        <w:t xml:space="preserve">2013 and has since </w:t>
      </w:r>
      <w:r w:rsidR="005440C8" w:rsidRPr="003A78F3">
        <w:rPr>
          <w:rFonts w:cs="Calibri"/>
          <w:lang w:val="en-GB"/>
        </w:rPr>
        <w:t>recognised revenues</w:t>
      </w:r>
      <w:r w:rsidR="00622566" w:rsidRPr="003A78F3">
        <w:rPr>
          <w:rFonts w:cs="Calibri"/>
          <w:lang w:val="en-GB"/>
        </w:rPr>
        <w:t xml:space="preserve"> on an accrual basis in the financial </w:t>
      </w:r>
      <w:r w:rsidR="005440C8" w:rsidRPr="003A78F3">
        <w:rPr>
          <w:rFonts w:cs="Calibri"/>
          <w:lang w:val="en-GB"/>
        </w:rPr>
        <w:t>reports</w:t>
      </w:r>
      <w:r w:rsidR="00622566" w:rsidRPr="003A78F3">
        <w:rPr>
          <w:rFonts w:cs="Calibri"/>
          <w:lang w:val="en-GB"/>
        </w:rPr>
        <w:t xml:space="preserve"> defined </w:t>
      </w:r>
      <w:r w:rsidR="005440C8" w:rsidRPr="003A78F3">
        <w:rPr>
          <w:rFonts w:cs="Calibri"/>
          <w:lang w:val="en-GB"/>
        </w:rPr>
        <w:t xml:space="preserve">under </w:t>
      </w:r>
      <w:r w:rsidR="00622566" w:rsidRPr="003A78F3">
        <w:rPr>
          <w:rFonts w:cs="Calibri"/>
          <w:lang w:val="en-GB"/>
        </w:rPr>
        <w:t xml:space="preserve">the </w:t>
      </w:r>
      <w:r w:rsidR="005440C8" w:rsidRPr="003A78F3">
        <w:rPr>
          <w:rFonts w:cs="Calibri"/>
          <w:lang w:val="en-GB" w:eastAsia="ja-JP"/>
        </w:rPr>
        <w:t>Rules on Financial Reporting for Beneficiaries of the Budgets of the Republic, Municipalities, Cities and Extra-budgetary Funds.</w:t>
      </w:r>
    </w:p>
    <w:p w:rsidR="00A97C31" w:rsidRPr="003A78F3" w:rsidRDefault="001A4FB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For the purposes of</w:t>
      </w:r>
      <w:r w:rsidR="00622566" w:rsidRPr="003A78F3">
        <w:rPr>
          <w:rFonts w:cs="Calibri"/>
          <w:lang w:val="en-GB"/>
        </w:rPr>
        <w:t xml:space="preserve"> reporting on</w:t>
      </w:r>
      <w:r w:rsidRPr="003A78F3">
        <w:rPr>
          <w:rFonts w:cs="Calibri"/>
          <w:lang w:val="en-GB"/>
        </w:rPr>
        <w:t xml:space="preserve"> budget execution,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 xml:space="preserve">a modified accrual basis is </w:t>
      </w:r>
      <w:r w:rsidR="00622566" w:rsidRPr="003A78F3">
        <w:rPr>
          <w:rFonts w:cs="Calibri"/>
          <w:lang w:val="en-GB"/>
        </w:rPr>
        <w:t>applie</w:t>
      </w:r>
      <w:r w:rsidRPr="003A78F3">
        <w:rPr>
          <w:rFonts w:cs="Calibri"/>
          <w:lang w:val="en-GB"/>
        </w:rPr>
        <w:t>d</w:t>
      </w:r>
      <w:r w:rsidR="00622566" w:rsidRPr="003A78F3">
        <w:rPr>
          <w:rFonts w:cs="Calibri"/>
          <w:lang w:val="en-GB"/>
        </w:rPr>
        <w:t xml:space="preserve">. The form </w:t>
      </w:r>
      <w:r w:rsidRPr="003A78F3">
        <w:rPr>
          <w:rFonts w:cs="Calibri"/>
          <w:lang w:val="en-GB"/>
        </w:rPr>
        <w:t xml:space="preserve">that </w:t>
      </w:r>
      <w:r w:rsidR="00622566" w:rsidRPr="003A78F3">
        <w:rPr>
          <w:rFonts w:cs="Calibri"/>
          <w:lang w:val="en-GB"/>
        </w:rPr>
        <w:t xml:space="preserve">is prepared </w:t>
      </w:r>
      <w:r w:rsidRPr="003A78F3">
        <w:rPr>
          <w:rFonts w:cs="Calibri"/>
          <w:lang w:val="en-GB"/>
        </w:rPr>
        <w:t xml:space="preserve">for the purposes of </w:t>
      </w:r>
      <w:r w:rsidR="00622566" w:rsidRPr="003A78F3">
        <w:rPr>
          <w:rFonts w:cs="Calibri"/>
          <w:lang w:val="en-GB"/>
        </w:rPr>
        <w:t>report</w:t>
      </w:r>
      <w:r w:rsidRPr="003A78F3">
        <w:rPr>
          <w:rFonts w:cs="Calibri"/>
          <w:lang w:val="en-GB"/>
        </w:rPr>
        <w:t>ing to</w:t>
      </w:r>
      <w:r w:rsidR="00622566" w:rsidRPr="003A78F3">
        <w:rPr>
          <w:rFonts w:cs="Calibri"/>
          <w:lang w:val="en-GB"/>
        </w:rPr>
        <w:t xml:space="preserve"> the IMF </w:t>
      </w:r>
      <w:r w:rsidRPr="003A78F3">
        <w:rPr>
          <w:rFonts w:cs="Calibri"/>
          <w:lang w:val="en-GB"/>
        </w:rPr>
        <w:t xml:space="preserve">is </w:t>
      </w:r>
      <w:r w:rsidR="00622566" w:rsidRPr="003A78F3">
        <w:rPr>
          <w:rFonts w:cs="Calibri"/>
          <w:lang w:val="en-GB"/>
        </w:rPr>
        <w:t xml:space="preserve">prepared </w:t>
      </w:r>
      <w:r w:rsidRPr="003A78F3">
        <w:rPr>
          <w:rFonts w:cs="Calibri"/>
          <w:lang w:val="en-GB"/>
        </w:rPr>
        <w:t xml:space="preserve">from </w:t>
      </w:r>
      <w:r w:rsidR="00622566" w:rsidRPr="003A78F3">
        <w:rPr>
          <w:rFonts w:cs="Calibri"/>
          <w:lang w:val="en-GB"/>
        </w:rPr>
        <w:t xml:space="preserve">the budget execution </w:t>
      </w:r>
      <w:r w:rsidRPr="003A78F3">
        <w:rPr>
          <w:rFonts w:cs="Calibri"/>
          <w:lang w:val="en-GB"/>
        </w:rPr>
        <w:t xml:space="preserve">report </w:t>
      </w:r>
      <w:r w:rsidR="00622566" w:rsidRPr="003A78F3">
        <w:rPr>
          <w:rFonts w:cs="Calibri"/>
          <w:lang w:val="en-GB"/>
        </w:rPr>
        <w:t xml:space="preserve">and as such shows modification of the accrual basis </w:t>
      </w:r>
      <w:r w:rsidRPr="003A78F3">
        <w:rPr>
          <w:rFonts w:cs="Calibri"/>
          <w:lang w:val="en-GB"/>
        </w:rPr>
        <w:t>on the</w:t>
      </w:r>
      <w:r w:rsidR="00622566" w:rsidRPr="003A78F3">
        <w:rPr>
          <w:rFonts w:cs="Calibri"/>
          <w:lang w:val="en-GB"/>
        </w:rPr>
        <w:t xml:space="preserve"> revenue side, while the expen</w:t>
      </w:r>
      <w:r w:rsidRPr="003A78F3">
        <w:rPr>
          <w:rFonts w:cs="Calibri"/>
          <w:lang w:val="en-GB"/>
        </w:rPr>
        <w:t>ditures</w:t>
      </w:r>
      <w:r w:rsidR="00622566" w:rsidRPr="003A78F3">
        <w:rPr>
          <w:rFonts w:cs="Calibri"/>
          <w:lang w:val="en-GB"/>
        </w:rPr>
        <w:t xml:space="preserve"> are </w:t>
      </w:r>
      <w:r w:rsidRPr="003A78F3">
        <w:rPr>
          <w:rFonts w:cs="Calibri"/>
          <w:lang w:val="en-GB"/>
        </w:rPr>
        <w:t>recognised</w:t>
      </w:r>
      <w:r w:rsidR="00622566" w:rsidRPr="003A78F3">
        <w:rPr>
          <w:rFonts w:cs="Calibri"/>
          <w:lang w:val="en-GB"/>
        </w:rPr>
        <w:t xml:space="preserve"> on an accrual basis.  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All other levels of government in BiH</w:t>
      </w:r>
      <w:r w:rsidR="000864E3" w:rsidRPr="003A78F3">
        <w:rPr>
          <w:rFonts w:cs="Calibri"/>
          <w:lang w:val="en-GB"/>
        </w:rPr>
        <w:t xml:space="preserve"> record transactions following a</w:t>
      </w:r>
      <w:r w:rsidRPr="003A78F3">
        <w:rPr>
          <w:rFonts w:cs="Calibri"/>
          <w:lang w:val="en-GB"/>
        </w:rPr>
        <w:t xml:space="preserve"> modified principle</w:t>
      </w:r>
      <w:r w:rsidR="000864E3" w:rsidRPr="003A78F3">
        <w:rPr>
          <w:rFonts w:cs="Calibri"/>
          <w:lang w:val="en-GB"/>
        </w:rPr>
        <w:t xml:space="preserve"> whereby</w:t>
      </w:r>
      <w:r w:rsidRPr="003A78F3">
        <w:rPr>
          <w:rFonts w:cs="Calibri"/>
          <w:lang w:val="en-GB"/>
        </w:rPr>
        <w:t xml:space="preserve"> revenues are recorded in the period in which they become available and measurable (on a cash basis) and </w:t>
      </w:r>
      <w:r w:rsidR="00D24AD0" w:rsidRPr="003A78F3">
        <w:rPr>
          <w:rFonts w:cs="Calibri"/>
          <w:lang w:val="en-GB"/>
        </w:rPr>
        <w:t>expenditures</w:t>
      </w:r>
      <w:r w:rsidRPr="003A78F3">
        <w:rPr>
          <w:rFonts w:cs="Calibri"/>
          <w:lang w:val="en-GB"/>
        </w:rPr>
        <w:t xml:space="preserve"> are recogni</w:t>
      </w:r>
      <w:r w:rsidR="000864E3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ed </w:t>
      </w:r>
      <w:r w:rsidR="00D24AD0" w:rsidRPr="003A78F3">
        <w:rPr>
          <w:rFonts w:cs="Calibri"/>
          <w:lang w:val="en-GB"/>
        </w:rPr>
        <w:t>the moment</w:t>
      </w:r>
      <w:r w:rsidRPr="003A78F3">
        <w:rPr>
          <w:rFonts w:cs="Calibri"/>
          <w:lang w:val="en-GB"/>
        </w:rPr>
        <w:t xml:space="preserve"> </w:t>
      </w:r>
      <w:r w:rsidR="00D24AD0" w:rsidRPr="003A78F3">
        <w:rPr>
          <w:rFonts w:cs="Calibri"/>
          <w:lang w:val="en-GB"/>
        </w:rPr>
        <w:t>a</w:t>
      </w:r>
      <w:r w:rsidRPr="003A78F3">
        <w:rPr>
          <w:rFonts w:cs="Calibri"/>
          <w:lang w:val="en-GB"/>
        </w:rPr>
        <w:t xml:space="preserve"> liability arises, regardless of when the payment is made (</w:t>
      </w:r>
      <w:r w:rsidR="00D24AD0" w:rsidRPr="003A78F3">
        <w:rPr>
          <w:rFonts w:cs="Calibri"/>
          <w:lang w:val="en-GB"/>
        </w:rPr>
        <w:t>on an</w:t>
      </w:r>
      <w:r w:rsidRPr="003A78F3">
        <w:rPr>
          <w:rFonts w:cs="Calibri"/>
          <w:lang w:val="en-GB"/>
        </w:rPr>
        <w:t xml:space="preserve"> accrual basis). Accordingly, all financial </w:t>
      </w:r>
      <w:r w:rsidR="00D24AD0" w:rsidRPr="003A78F3">
        <w:rPr>
          <w:rFonts w:cs="Calibri"/>
          <w:lang w:val="en-GB"/>
        </w:rPr>
        <w:t>reports</w:t>
      </w:r>
      <w:r w:rsidRPr="003A78F3">
        <w:rPr>
          <w:rFonts w:cs="Calibri"/>
          <w:lang w:val="en-GB"/>
        </w:rPr>
        <w:t xml:space="preserve"> are prepared </w:t>
      </w:r>
      <w:r w:rsidR="00D24AD0" w:rsidRPr="003A78F3">
        <w:rPr>
          <w:rFonts w:cs="Calibri"/>
          <w:lang w:val="en-GB"/>
        </w:rPr>
        <w:t>following the</w:t>
      </w:r>
      <w:r w:rsidRPr="003A78F3">
        <w:rPr>
          <w:rFonts w:cs="Calibri"/>
          <w:lang w:val="en-GB"/>
        </w:rPr>
        <w:t xml:space="preserve"> modified</w:t>
      </w:r>
      <w:r w:rsidR="00D24AD0" w:rsidRPr="003A78F3">
        <w:rPr>
          <w:rFonts w:cs="Calibri"/>
          <w:lang w:val="en-GB"/>
        </w:rPr>
        <w:t xml:space="preserve"> principle</w:t>
      </w:r>
      <w:r w:rsidRPr="003A78F3">
        <w:rPr>
          <w:rFonts w:cs="Calibri"/>
          <w:lang w:val="en-GB"/>
        </w:rPr>
        <w:t>.</w:t>
      </w:r>
    </w:p>
    <w:p w:rsidR="00A97C31" w:rsidRPr="003A78F3" w:rsidRDefault="00D24AD0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By law,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 xml:space="preserve">local governments in FBiH were </w:t>
      </w:r>
      <w:r w:rsidR="00927DE5" w:rsidRPr="003A78F3">
        <w:rPr>
          <w:rFonts w:cs="Calibri"/>
          <w:lang w:val="en-GB"/>
        </w:rPr>
        <w:t xml:space="preserve">obliged to introduce </w:t>
      </w:r>
      <w:r w:rsidR="00622566" w:rsidRPr="003A78F3">
        <w:rPr>
          <w:rFonts w:cs="Calibri"/>
          <w:lang w:val="en-GB"/>
        </w:rPr>
        <w:t xml:space="preserve">the Treasury </w:t>
      </w:r>
      <w:r w:rsidRPr="003A78F3">
        <w:rPr>
          <w:rFonts w:cs="Calibri"/>
          <w:lang w:val="en-GB"/>
        </w:rPr>
        <w:t xml:space="preserve">system of operations </w:t>
      </w:r>
      <w:r w:rsidR="00927DE5" w:rsidRPr="003A78F3">
        <w:rPr>
          <w:rFonts w:cs="Calibri"/>
          <w:lang w:val="en-GB"/>
        </w:rPr>
        <w:t>by</w:t>
      </w:r>
      <w:r w:rsidR="00622566" w:rsidRPr="003A78F3">
        <w:rPr>
          <w:rFonts w:cs="Calibri"/>
          <w:lang w:val="en-GB"/>
        </w:rPr>
        <w:t xml:space="preserve"> 2011</w:t>
      </w:r>
      <w:r w:rsidR="00927DE5" w:rsidRPr="003A78F3">
        <w:rPr>
          <w:rFonts w:cs="Calibri"/>
          <w:lang w:val="en-GB"/>
        </w:rPr>
        <w:t>;</w:t>
      </w:r>
      <w:r w:rsidR="00622566" w:rsidRPr="003A78F3">
        <w:rPr>
          <w:rFonts w:cs="Calibri"/>
          <w:lang w:val="en-GB"/>
        </w:rPr>
        <w:t xml:space="preserve"> however</w:t>
      </w:r>
      <w:r w:rsidR="00927DE5" w:rsidRPr="003A78F3">
        <w:rPr>
          <w:rFonts w:cs="Calibri"/>
          <w:lang w:val="en-GB"/>
        </w:rPr>
        <w:t>,</w:t>
      </w:r>
      <w:r w:rsidR="00622566" w:rsidRPr="003A78F3">
        <w:rPr>
          <w:rFonts w:cs="Calibri"/>
          <w:lang w:val="en-GB"/>
        </w:rPr>
        <w:t xml:space="preserve"> </w:t>
      </w:r>
      <w:r w:rsidR="00927DE5" w:rsidRPr="003A78F3">
        <w:rPr>
          <w:rFonts w:cs="Calibri"/>
          <w:lang w:val="en-GB"/>
        </w:rPr>
        <w:t>the system</w:t>
      </w:r>
      <w:r w:rsidR="00622566" w:rsidRPr="003A78F3">
        <w:rPr>
          <w:rFonts w:cs="Calibri"/>
          <w:lang w:val="en-GB"/>
        </w:rPr>
        <w:t xml:space="preserve"> has not been fully implemented</w:t>
      </w:r>
      <w:r w:rsidR="00927DE5" w:rsidRPr="003A78F3">
        <w:rPr>
          <w:rFonts w:cs="Calibri"/>
          <w:lang w:val="en-GB"/>
        </w:rPr>
        <w:t xml:space="preserve"> yet</w:t>
      </w:r>
      <w:r w:rsidR="00622566" w:rsidRPr="003A78F3">
        <w:rPr>
          <w:rFonts w:cs="Calibri"/>
          <w:lang w:val="en-GB"/>
        </w:rPr>
        <w:t xml:space="preserve">. Federal and cantonal levels of government have introduced </w:t>
      </w:r>
      <w:r w:rsidR="00927DE5"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>treasury system</w:t>
      </w:r>
      <w:r w:rsidR="00927DE5" w:rsidRPr="003A78F3">
        <w:rPr>
          <w:rFonts w:cs="Calibri"/>
          <w:lang w:val="en-GB"/>
        </w:rPr>
        <w:t xml:space="preserve"> of operations</w:t>
      </w:r>
      <w:r w:rsidR="00622566" w:rsidRPr="003A78F3">
        <w:rPr>
          <w:rFonts w:cs="Calibri"/>
          <w:lang w:val="en-GB"/>
        </w:rPr>
        <w:t xml:space="preserve">. Some extra-budgetary </w:t>
      </w:r>
      <w:r w:rsidR="00927DE5" w:rsidRPr="003A78F3">
        <w:rPr>
          <w:rFonts w:cs="Calibri"/>
          <w:lang w:val="en-GB"/>
        </w:rPr>
        <w:t>beneficiaries</w:t>
      </w:r>
      <w:r w:rsidR="00622566" w:rsidRPr="003A78F3">
        <w:rPr>
          <w:rFonts w:cs="Calibri"/>
          <w:lang w:val="en-GB"/>
        </w:rPr>
        <w:t xml:space="preserve"> at the cantonal level are </w:t>
      </w:r>
      <w:r w:rsidR="00927DE5" w:rsidRPr="003A78F3">
        <w:rPr>
          <w:rFonts w:cs="Calibri"/>
          <w:lang w:val="en-GB"/>
        </w:rPr>
        <w:t>included</w:t>
      </w:r>
      <w:r w:rsidR="00622566" w:rsidRPr="003A78F3">
        <w:rPr>
          <w:rFonts w:cs="Calibri"/>
          <w:lang w:val="en-GB"/>
        </w:rPr>
        <w:t xml:space="preserve"> in the treasury system, </w:t>
      </w:r>
      <w:r w:rsidR="00EA41FF">
        <w:rPr>
          <w:rFonts w:cs="Calibri"/>
          <w:lang w:val="en-GB"/>
        </w:rPr>
        <w:t>e.g.</w:t>
      </w:r>
      <w:r w:rsidR="00622566" w:rsidRPr="003A78F3">
        <w:rPr>
          <w:rFonts w:cs="Calibri"/>
          <w:lang w:val="en-GB"/>
        </w:rPr>
        <w:t xml:space="preserve"> </w:t>
      </w:r>
      <w:r w:rsidR="00927DE5" w:rsidRPr="003A78F3">
        <w:rPr>
          <w:rFonts w:cs="Calibri"/>
          <w:lang w:val="en-GB"/>
        </w:rPr>
        <w:t xml:space="preserve">road directorates </w:t>
      </w:r>
      <w:r w:rsidR="00622566" w:rsidRPr="003A78F3">
        <w:rPr>
          <w:rFonts w:cs="Calibri"/>
          <w:lang w:val="en-GB"/>
        </w:rPr>
        <w:t>in seven cantons.</w:t>
      </w:r>
    </w:p>
    <w:p w:rsidR="00A97C31" w:rsidRPr="003A78F3" w:rsidRDefault="00622566" w:rsidP="00403657">
      <w:pPr>
        <w:spacing w:after="0"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Treasury software for all four main levels of government and the cantons </w:t>
      </w:r>
      <w:r w:rsidR="003602E4" w:rsidRPr="003A78F3">
        <w:rPr>
          <w:rFonts w:cs="Calibri"/>
          <w:lang w:val="en-GB"/>
        </w:rPr>
        <w:t>was procured</w:t>
      </w:r>
      <w:r w:rsidRPr="003A78F3">
        <w:rPr>
          <w:rFonts w:cs="Calibri"/>
          <w:lang w:val="en-GB"/>
        </w:rPr>
        <w:t xml:space="preserve"> from </w:t>
      </w:r>
      <w:r w:rsidR="003602E4" w:rsidRPr="003A78F3">
        <w:rPr>
          <w:rFonts w:cs="Calibri"/>
          <w:lang w:val="en-GB"/>
        </w:rPr>
        <w:t>grants</w:t>
      </w:r>
      <w:r w:rsidRPr="003A78F3">
        <w:rPr>
          <w:rFonts w:cs="Calibri"/>
          <w:lang w:val="en-GB"/>
        </w:rPr>
        <w:t xml:space="preserve">, </w:t>
      </w:r>
      <w:r w:rsidR="00F22772" w:rsidRPr="003A78F3">
        <w:rPr>
          <w:rFonts w:cs="Calibri"/>
          <w:lang w:val="en-GB"/>
        </w:rPr>
        <w:t>while</w:t>
      </w:r>
      <w:r w:rsidRPr="003A78F3">
        <w:rPr>
          <w:rFonts w:cs="Calibri"/>
          <w:lang w:val="en-GB"/>
        </w:rPr>
        <w:t xml:space="preserve"> </w:t>
      </w:r>
      <w:r w:rsidR="003602E4" w:rsidRPr="003A78F3">
        <w:rPr>
          <w:rFonts w:cs="Calibri"/>
          <w:lang w:val="en-GB"/>
        </w:rPr>
        <w:t xml:space="preserve">for </w:t>
      </w:r>
      <w:r w:rsidR="00EA41FF">
        <w:rPr>
          <w:rFonts w:cs="Calibri"/>
          <w:lang w:val="en-GB"/>
        </w:rPr>
        <w:t>local</w:t>
      </w:r>
      <w:r w:rsidR="003602E4" w:rsidRPr="003A78F3">
        <w:rPr>
          <w:rFonts w:cs="Calibri"/>
          <w:lang w:val="en-GB"/>
        </w:rPr>
        <w:t xml:space="preserve"> government</w:t>
      </w:r>
      <w:r w:rsidR="00EA41FF">
        <w:rPr>
          <w:rFonts w:cs="Calibri"/>
          <w:lang w:val="en-GB"/>
        </w:rPr>
        <w:t>s</w:t>
      </w:r>
      <w:r w:rsidR="003602E4" w:rsidRPr="003A78F3">
        <w:rPr>
          <w:rFonts w:cs="Calibri"/>
          <w:lang w:val="en-GB"/>
        </w:rPr>
        <w:t xml:space="preserve"> treasury software was provided</w:t>
      </w:r>
      <w:r w:rsidRPr="003A78F3">
        <w:rPr>
          <w:rFonts w:cs="Calibri"/>
          <w:lang w:val="en-GB"/>
        </w:rPr>
        <w:t xml:space="preserve"> by </w:t>
      </w:r>
      <w:r w:rsidR="00F22772" w:rsidRPr="003A78F3">
        <w:rPr>
          <w:rFonts w:cs="Calibri"/>
          <w:lang w:val="en-GB"/>
        </w:rPr>
        <w:t>various</w:t>
      </w:r>
      <w:r w:rsidRPr="003A78F3">
        <w:rPr>
          <w:rFonts w:cs="Calibri"/>
          <w:lang w:val="en-GB"/>
        </w:rPr>
        <w:t xml:space="preserve"> donor projects or </w:t>
      </w:r>
      <w:r w:rsidR="00F22772" w:rsidRPr="003A78F3">
        <w:rPr>
          <w:rFonts w:cs="Calibri"/>
          <w:lang w:val="en-GB"/>
        </w:rPr>
        <w:t xml:space="preserve">its purchase was </w:t>
      </w:r>
      <w:r w:rsidRPr="003A78F3">
        <w:rPr>
          <w:rFonts w:cs="Calibri"/>
          <w:lang w:val="en-GB"/>
        </w:rPr>
        <w:t xml:space="preserve">financed from </w:t>
      </w:r>
      <w:r w:rsidR="00F22772" w:rsidRPr="003A78F3">
        <w:rPr>
          <w:rFonts w:cs="Calibri"/>
          <w:lang w:val="en-GB"/>
        </w:rPr>
        <w:t>local governments’</w:t>
      </w:r>
      <w:r w:rsidRPr="003A78F3">
        <w:rPr>
          <w:rFonts w:cs="Calibri"/>
          <w:lang w:val="en-GB"/>
        </w:rPr>
        <w:t xml:space="preserve"> own budgetary resources. For </w:t>
      </w:r>
      <w:r w:rsidR="00F05D0C" w:rsidRPr="003A78F3">
        <w:rPr>
          <w:rFonts w:cs="Calibri"/>
          <w:lang w:val="en-GB"/>
        </w:rPr>
        <w:t>the</w:t>
      </w:r>
      <w:r w:rsidRPr="003A78F3">
        <w:rPr>
          <w:rFonts w:cs="Calibri"/>
          <w:lang w:val="en-GB"/>
        </w:rPr>
        <w:t xml:space="preserve"> </w:t>
      </w:r>
      <w:r w:rsidR="00F22772" w:rsidRPr="003A78F3">
        <w:rPr>
          <w:rFonts w:cs="Calibri"/>
          <w:lang w:val="en-GB"/>
        </w:rPr>
        <w:t>full</w:t>
      </w:r>
      <w:r w:rsidRPr="003A78F3">
        <w:rPr>
          <w:rFonts w:cs="Calibri"/>
          <w:lang w:val="en-GB"/>
        </w:rPr>
        <w:t xml:space="preserve"> introduction of treasury operations in </w:t>
      </w:r>
      <w:r w:rsidR="00F05D0C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>public administration</w:t>
      </w:r>
      <w:r w:rsidR="00F05D0C" w:rsidRPr="003A78F3">
        <w:rPr>
          <w:rFonts w:cs="Calibri"/>
          <w:lang w:val="en-GB"/>
        </w:rPr>
        <w:t xml:space="preserve"> in</w:t>
      </w:r>
      <w:r w:rsidRPr="003A78F3">
        <w:rPr>
          <w:rFonts w:cs="Calibri"/>
          <w:lang w:val="en-GB"/>
        </w:rPr>
        <w:t xml:space="preserve"> </w:t>
      </w:r>
      <w:r w:rsidR="00F05D0C" w:rsidRPr="003A78F3">
        <w:rPr>
          <w:rFonts w:cs="Calibri"/>
          <w:lang w:val="en-GB"/>
        </w:rPr>
        <w:t xml:space="preserve">BiH, it would be necessary to </w:t>
      </w:r>
      <w:r w:rsidRPr="003A78F3">
        <w:rPr>
          <w:rFonts w:cs="Calibri"/>
          <w:lang w:val="en-GB"/>
        </w:rPr>
        <w:t>seek donor support.</w:t>
      </w:r>
    </w:p>
    <w:p w:rsidR="00A97C31" w:rsidRPr="003A78F3" w:rsidRDefault="00A97C31" w:rsidP="00403657">
      <w:pPr>
        <w:spacing w:after="0" w:line="240" w:lineRule="auto"/>
        <w:jc w:val="both"/>
        <w:rPr>
          <w:rFonts w:cs="Calibri"/>
          <w:lang w:val="en-GB"/>
        </w:rPr>
      </w:pPr>
    </w:p>
    <w:p w:rsidR="00A97C31" w:rsidRPr="003A78F3" w:rsidRDefault="00622566" w:rsidP="00403657">
      <w:pPr>
        <w:pStyle w:val="Heading2"/>
        <w:rPr>
          <w:rFonts w:ascii="Calibri" w:hAnsi="Calibri" w:cs="Calibri"/>
          <w:lang w:val="en-GB"/>
        </w:rPr>
      </w:pPr>
      <w:bookmarkStart w:id="19" w:name="_Toc445049559"/>
      <w:bookmarkStart w:id="20" w:name="_Toc473971992"/>
      <w:r w:rsidRPr="003A78F3">
        <w:rPr>
          <w:rFonts w:ascii="Calibri" w:hAnsi="Calibri" w:cs="Calibri"/>
          <w:lang w:val="en-GB"/>
        </w:rPr>
        <w:lastRenderedPageBreak/>
        <w:t xml:space="preserve">3. Introduction </w:t>
      </w:r>
      <w:bookmarkEnd w:id="19"/>
      <w:r w:rsidR="00F05D0C" w:rsidRPr="003A78F3">
        <w:rPr>
          <w:rFonts w:ascii="Calibri" w:hAnsi="Calibri" w:cs="Calibri"/>
          <w:lang w:val="en-GB"/>
        </w:rPr>
        <w:t>of PIFC in full compliance with EU requirements</w:t>
      </w:r>
      <w:bookmarkEnd w:id="20"/>
    </w:p>
    <w:p w:rsidR="00A97C31" w:rsidRPr="003A78F3" w:rsidRDefault="00A97C31" w:rsidP="00403657">
      <w:pPr>
        <w:spacing w:after="0" w:line="240" w:lineRule="auto"/>
        <w:jc w:val="both"/>
        <w:rPr>
          <w:rFonts w:cs="Calibri"/>
          <w:lang w:val="en-GB"/>
        </w:rPr>
      </w:pP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Countries that are </w:t>
      </w:r>
      <w:r w:rsidR="00F05D0C" w:rsidRPr="003A78F3">
        <w:rPr>
          <w:rFonts w:cs="Calibri"/>
          <w:lang w:val="en-GB"/>
        </w:rPr>
        <w:t>in the</w:t>
      </w:r>
      <w:r w:rsidRPr="003A78F3">
        <w:rPr>
          <w:rFonts w:cs="Calibri"/>
          <w:lang w:val="en-GB"/>
        </w:rPr>
        <w:t xml:space="preserve"> EU </w:t>
      </w:r>
      <w:r w:rsidR="00F05D0C" w:rsidRPr="003A78F3">
        <w:rPr>
          <w:rFonts w:cs="Calibri"/>
          <w:lang w:val="en-GB"/>
        </w:rPr>
        <w:t>accession process</w:t>
      </w:r>
      <w:r w:rsidRPr="003A78F3">
        <w:rPr>
          <w:rFonts w:cs="Calibri"/>
          <w:lang w:val="en-GB"/>
        </w:rPr>
        <w:t xml:space="preserve">, </w:t>
      </w:r>
      <w:r w:rsidR="00F05D0C" w:rsidRPr="003A78F3">
        <w:rPr>
          <w:rFonts w:cs="Calibri"/>
          <w:lang w:val="en-GB"/>
        </w:rPr>
        <w:t>such as</w:t>
      </w:r>
      <w:r w:rsidRPr="003A78F3">
        <w:rPr>
          <w:rFonts w:cs="Calibri"/>
          <w:lang w:val="en-GB"/>
        </w:rPr>
        <w:t xml:space="preserve"> Bosnia and Herzegovina, </w:t>
      </w:r>
      <w:r w:rsidR="00E30D05" w:rsidRPr="003A78F3">
        <w:rPr>
          <w:rFonts w:cs="Calibri"/>
          <w:lang w:val="en-GB"/>
        </w:rPr>
        <w:t xml:space="preserve">are </w:t>
      </w:r>
      <w:r w:rsidRPr="003A78F3">
        <w:rPr>
          <w:rFonts w:cs="Calibri"/>
          <w:lang w:val="en-GB"/>
        </w:rPr>
        <w:t xml:space="preserve">recommended </w:t>
      </w:r>
      <w:r w:rsidR="00E30D05" w:rsidRPr="003A78F3">
        <w:rPr>
          <w:rFonts w:cs="Calibri"/>
          <w:lang w:val="en-GB"/>
        </w:rPr>
        <w:t xml:space="preserve">to </w:t>
      </w:r>
      <w:r w:rsidRPr="003A78F3">
        <w:rPr>
          <w:rFonts w:cs="Calibri"/>
          <w:lang w:val="en-GB"/>
        </w:rPr>
        <w:t>adjust</w:t>
      </w:r>
      <w:r w:rsidR="00E30D05" w:rsidRPr="003A78F3">
        <w:rPr>
          <w:rFonts w:cs="Calibri"/>
          <w:lang w:val="en-GB"/>
        </w:rPr>
        <w:t xml:space="preserve"> their</w:t>
      </w:r>
      <w:r w:rsidRPr="003A78F3">
        <w:rPr>
          <w:rFonts w:cs="Calibri"/>
          <w:lang w:val="en-GB"/>
        </w:rPr>
        <w:t xml:space="preserve"> legislation and practices in the field of internal financial control. All levels of government in BiH </w:t>
      </w:r>
      <w:r w:rsidR="00E30D05" w:rsidRPr="003A78F3">
        <w:rPr>
          <w:rFonts w:cs="Calibri"/>
          <w:lang w:val="en-GB"/>
        </w:rPr>
        <w:t>have implemented activities</w:t>
      </w:r>
      <w:r w:rsidRPr="003A78F3">
        <w:rPr>
          <w:rFonts w:cs="Calibri"/>
          <w:lang w:val="en-GB"/>
        </w:rPr>
        <w:t xml:space="preserve"> in this field </w:t>
      </w:r>
      <w:r w:rsidR="00EA41FF" w:rsidRPr="003A78F3">
        <w:rPr>
          <w:rFonts w:cs="Calibri"/>
          <w:lang w:val="en-GB"/>
        </w:rPr>
        <w:t xml:space="preserve">such </w:t>
      </w:r>
      <w:r w:rsidR="00E30D05" w:rsidRPr="003A78F3">
        <w:rPr>
          <w:rFonts w:cs="Calibri"/>
          <w:lang w:val="en-GB"/>
        </w:rPr>
        <w:t>as</w:t>
      </w:r>
      <w:r w:rsidRPr="003A78F3">
        <w:rPr>
          <w:rFonts w:cs="Calibri"/>
          <w:lang w:val="en-GB"/>
        </w:rPr>
        <w:t xml:space="preserve"> the adoption of legislation, establishment of new organi</w:t>
      </w:r>
      <w:r w:rsidR="00E30D05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>ational units within the ministries of finance, adopti</w:t>
      </w:r>
      <w:r w:rsidR="00E30D05" w:rsidRPr="003A78F3">
        <w:rPr>
          <w:rFonts w:cs="Calibri"/>
          <w:lang w:val="en-GB"/>
        </w:rPr>
        <w:t xml:space="preserve">on of implementing regulations </w:t>
      </w:r>
      <w:r w:rsidRPr="003A78F3">
        <w:rPr>
          <w:rFonts w:cs="Calibri"/>
          <w:lang w:val="en-GB"/>
        </w:rPr>
        <w:t>and training</w:t>
      </w:r>
      <w:r w:rsidR="00E30D05" w:rsidRPr="003A78F3">
        <w:rPr>
          <w:rFonts w:cs="Calibri"/>
          <w:lang w:val="en-GB"/>
        </w:rPr>
        <w:t xml:space="preserve"> of</w:t>
      </w:r>
      <w:r w:rsidRPr="003A78F3">
        <w:rPr>
          <w:rFonts w:cs="Calibri"/>
          <w:lang w:val="en-GB"/>
        </w:rPr>
        <w:t xml:space="preserve"> staff.</w:t>
      </w:r>
      <w:r w:rsidR="00EA41FF">
        <w:rPr>
          <w:rFonts w:cs="Calibri"/>
          <w:lang w:val="en-GB"/>
        </w:rPr>
        <w:t xml:space="preserve"> </w:t>
      </w:r>
    </w:p>
    <w:p w:rsidR="00403657" w:rsidRPr="003A78F3" w:rsidRDefault="00403657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introduction of Public Internal Financial Control (PIFC) in BiH institutions took place in part </w:t>
      </w:r>
      <w:r w:rsidR="00E30D05" w:rsidRPr="003A78F3">
        <w:rPr>
          <w:rFonts w:cs="Calibri"/>
          <w:lang w:val="en-GB"/>
        </w:rPr>
        <w:t>according to</w:t>
      </w:r>
      <w:r w:rsidRPr="003A78F3">
        <w:rPr>
          <w:rFonts w:cs="Calibri"/>
          <w:lang w:val="en-GB"/>
        </w:rPr>
        <w:t xml:space="preserve"> the action plan stemming from the Strategy for </w:t>
      </w:r>
      <w:r w:rsidR="00E30D05" w:rsidRPr="003A78F3">
        <w:rPr>
          <w:rFonts w:cs="Calibri"/>
          <w:lang w:val="en-GB"/>
        </w:rPr>
        <w:t xml:space="preserve">Introducing Public Internal Financial Control </w:t>
      </w:r>
      <w:r w:rsidRPr="003A78F3">
        <w:rPr>
          <w:rFonts w:cs="Calibri"/>
          <w:lang w:val="en-GB"/>
        </w:rPr>
        <w:t xml:space="preserve">in the </w:t>
      </w:r>
      <w:r w:rsidR="00E30D05" w:rsidRPr="003A78F3">
        <w:rPr>
          <w:rFonts w:cs="Calibri"/>
          <w:lang w:val="en-GB"/>
        </w:rPr>
        <w:t xml:space="preserve">Institutions </w:t>
      </w:r>
      <w:r w:rsidRPr="003A78F3">
        <w:rPr>
          <w:rFonts w:cs="Calibri"/>
          <w:lang w:val="en-GB"/>
        </w:rPr>
        <w:t xml:space="preserve">of BiH. </w:t>
      </w:r>
      <w:r w:rsidR="00E30D05" w:rsidRPr="003A78F3">
        <w:rPr>
          <w:rFonts w:cs="Calibri"/>
          <w:lang w:val="en-GB"/>
        </w:rPr>
        <w:t>D</w:t>
      </w:r>
      <w:r w:rsidRPr="003A78F3">
        <w:rPr>
          <w:rFonts w:cs="Calibri"/>
          <w:lang w:val="en-GB"/>
        </w:rPr>
        <w:t xml:space="preserve">evelopment of </w:t>
      </w:r>
      <w:r w:rsidR="00E30D05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 xml:space="preserve">PIFC system is </w:t>
      </w:r>
      <w:r w:rsidR="00E30D05" w:rsidRPr="003A78F3">
        <w:rPr>
          <w:rFonts w:cs="Calibri"/>
          <w:lang w:val="en-GB"/>
        </w:rPr>
        <w:t>the responsibility of the</w:t>
      </w:r>
      <w:r w:rsidRPr="003A78F3">
        <w:rPr>
          <w:rFonts w:cs="Calibri"/>
          <w:lang w:val="en-GB"/>
        </w:rPr>
        <w:t xml:space="preserve"> C</w:t>
      </w:r>
      <w:r w:rsidR="00E30D05" w:rsidRPr="003A78F3">
        <w:rPr>
          <w:rFonts w:cs="Calibri"/>
          <w:lang w:val="en-GB"/>
        </w:rPr>
        <w:t>entral Harmonisation Unit (CHU). I</w:t>
      </w:r>
      <w:r w:rsidRPr="003A78F3">
        <w:rPr>
          <w:rFonts w:cs="Calibri"/>
          <w:lang w:val="en-GB"/>
        </w:rPr>
        <w:t>ts</w:t>
      </w:r>
      <w:r w:rsidR="00E30D05" w:rsidRPr="003A78F3">
        <w:rPr>
          <w:rFonts w:cs="Calibri"/>
          <w:lang w:val="en-GB"/>
        </w:rPr>
        <w:t xml:space="preserve"> purview and </w:t>
      </w:r>
      <w:r w:rsidRPr="003A78F3">
        <w:rPr>
          <w:rFonts w:cs="Calibri"/>
          <w:lang w:val="en-GB"/>
        </w:rPr>
        <w:t xml:space="preserve">responsibilities </w:t>
      </w:r>
      <w:r w:rsidR="00E30D05" w:rsidRPr="003A78F3">
        <w:rPr>
          <w:rFonts w:cs="Calibri"/>
          <w:lang w:val="en-GB"/>
        </w:rPr>
        <w:t>are</w:t>
      </w:r>
      <w:r w:rsidRPr="003A78F3">
        <w:rPr>
          <w:rFonts w:cs="Calibri"/>
          <w:lang w:val="en-GB"/>
        </w:rPr>
        <w:t xml:space="preserve"> defined by the Law on Internal Audit of </w:t>
      </w:r>
      <w:r w:rsidR="00E30D05" w:rsidRPr="003A78F3">
        <w:rPr>
          <w:rFonts w:cs="Calibri"/>
          <w:lang w:val="en-GB"/>
        </w:rPr>
        <w:t xml:space="preserve">the </w:t>
      </w:r>
      <w:r w:rsidRPr="003A78F3">
        <w:rPr>
          <w:rFonts w:cs="Calibri"/>
          <w:lang w:val="en-GB"/>
        </w:rPr>
        <w:t xml:space="preserve">Institutions of BiH and the Law on Financing </w:t>
      </w:r>
      <w:r w:rsidR="00E30D05" w:rsidRPr="003A78F3">
        <w:rPr>
          <w:rFonts w:cs="Calibri"/>
          <w:lang w:val="en-GB"/>
        </w:rPr>
        <w:t>the</w:t>
      </w:r>
      <w:r w:rsidRPr="003A78F3">
        <w:rPr>
          <w:rFonts w:cs="Calibri"/>
          <w:lang w:val="en-GB"/>
        </w:rPr>
        <w:t xml:space="preserve"> Institutions of BiH. At the level of the </w:t>
      </w:r>
      <w:r w:rsidR="00EA41FF">
        <w:rPr>
          <w:rFonts w:cs="Calibri"/>
          <w:lang w:val="en-GB"/>
        </w:rPr>
        <w:t xml:space="preserve">BiH </w:t>
      </w:r>
      <w:r w:rsidRPr="003A78F3">
        <w:rPr>
          <w:rFonts w:cs="Calibri"/>
          <w:lang w:val="en-GB"/>
        </w:rPr>
        <w:t>Institution</w:t>
      </w:r>
      <w:r w:rsidR="00EA41FF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 a decentrali</w:t>
      </w:r>
      <w:r w:rsidR="00D03BBD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ed model of internal audit </w:t>
      </w:r>
      <w:r w:rsidR="00D03BBD" w:rsidRPr="003A78F3">
        <w:rPr>
          <w:rFonts w:cs="Calibri"/>
          <w:lang w:val="en-GB"/>
        </w:rPr>
        <w:t xml:space="preserve">has been implemented </w:t>
      </w:r>
      <w:r w:rsidRPr="003A78F3">
        <w:rPr>
          <w:rFonts w:cs="Calibri"/>
          <w:lang w:val="en-GB"/>
        </w:rPr>
        <w:t xml:space="preserve">and </w:t>
      </w:r>
      <w:r w:rsidR="00D03BBD" w:rsidRPr="003A78F3">
        <w:rPr>
          <w:rFonts w:cs="Calibri"/>
          <w:lang w:val="en-GB"/>
        </w:rPr>
        <w:t xml:space="preserve">theoretical and practical training is organised on a continuing basis </w:t>
      </w:r>
      <w:r w:rsidRPr="003A78F3">
        <w:rPr>
          <w:rFonts w:cs="Calibri"/>
          <w:lang w:val="en-GB"/>
        </w:rPr>
        <w:t xml:space="preserve">for </w:t>
      </w:r>
      <w:r w:rsidR="00D03BBD" w:rsidRPr="003A78F3">
        <w:rPr>
          <w:rFonts w:cs="Calibri"/>
          <w:lang w:val="en-GB"/>
        </w:rPr>
        <w:t xml:space="preserve">CHU </w:t>
      </w:r>
      <w:r w:rsidRPr="003A78F3">
        <w:rPr>
          <w:rFonts w:cs="Calibri"/>
          <w:lang w:val="en-GB"/>
        </w:rPr>
        <w:t>staff, internal auditors and financial officers.</w:t>
      </w:r>
    </w:p>
    <w:p w:rsidR="00A97C31" w:rsidRPr="003A78F3" w:rsidRDefault="00B41AD8" w:rsidP="00403657">
      <w:pPr>
        <w:spacing w:line="240" w:lineRule="auto"/>
        <w:jc w:val="center"/>
        <w:rPr>
          <w:rFonts w:cs="Calibri"/>
          <w:lang w:val="en-GB"/>
        </w:rPr>
      </w:pPr>
      <w:r>
        <w:rPr>
          <w:rFonts w:cs="Calibri"/>
          <w:noProof/>
          <w:lang w:val="bs-Latn-BA" w:eastAsia="bs-Latn-BA"/>
        </w:rPr>
        <w:drawing>
          <wp:inline distT="0" distB="0" distL="0" distR="0">
            <wp:extent cx="2958929" cy="2804550"/>
            <wp:effectExtent l="19050" t="0" r="0" b="0"/>
            <wp:docPr id="3" name="Picture 2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972" cy="280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C31" w:rsidRPr="00B41AD8" w:rsidRDefault="00622566" w:rsidP="00403657">
      <w:pPr>
        <w:spacing w:line="240" w:lineRule="auto"/>
        <w:jc w:val="center"/>
        <w:rPr>
          <w:rFonts w:cs="Calibri"/>
          <w:i/>
          <w:lang w:val="en-GB"/>
        </w:rPr>
      </w:pPr>
      <w:r w:rsidRPr="00B41AD8">
        <w:rPr>
          <w:rFonts w:cs="Calibri"/>
          <w:i/>
          <w:lang w:val="en-GB"/>
        </w:rPr>
        <w:t xml:space="preserve">Schematic representation of the </w:t>
      </w:r>
      <w:r w:rsidR="00D03BBD" w:rsidRPr="00B41AD8">
        <w:rPr>
          <w:rFonts w:cs="Calibri"/>
          <w:i/>
          <w:lang w:val="en-GB"/>
        </w:rPr>
        <w:t xml:space="preserve">PIFC </w:t>
      </w:r>
      <w:r w:rsidRPr="00B41AD8">
        <w:rPr>
          <w:rFonts w:cs="Calibri"/>
          <w:i/>
          <w:lang w:val="en-GB"/>
        </w:rPr>
        <w:t xml:space="preserve">concept 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CHU pub</w:t>
      </w:r>
      <w:r w:rsidR="00867172" w:rsidRPr="003A78F3">
        <w:rPr>
          <w:rFonts w:cs="Calibri"/>
          <w:lang w:val="en-GB"/>
        </w:rPr>
        <w:t>lished on the website of the MF</w:t>
      </w:r>
      <w:r w:rsidRPr="003A78F3">
        <w:rPr>
          <w:rFonts w:cs="Calibri"/>
          <w:lang w:val="en-GB"/>
        </w:rPr>
        <w:t>T BiH annual consolidated report</w:t>
      </w:r>
      <w:r w:rsidR="00D03BBD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 o</w:t>
      </w:r>
      <w:r w:rsidR="00D03BBD" w:rsidRPr="003A78F3">
        <w:rPr>
          <w:rFonts w:cs="Calibri"/>
          <w:lang w:val="en-GB"/>
        </w:rPr>
        <w:t>n</w:t>
      </w:r>
      <w:r w:rsidRPr="003A78F3">
        <w:rPr>
          <w:rFonts w:cs="Calibri"/>
          <w:lang w:val="en-GB"/>
        </w:rPr>
        <w:t xml:space="preserve"> internal audit for 2011, 2012 and 2013</w:t>
      </w:r>
      <w:r w:rsidRPr="003A78F3">
        <w:rPr>
          <w:rFonts w:cs="Calibri"/>
          <w:vertAlign w:val="superscript"/>
          <w:lang w:val="en-GB"/>
        </w:rPr>
        <w:footnoteReference w:id="7"/>
      </w:r>
      <w:r w:rsidRPr="003A78F3">
        <w:rPr>
          <w:rFonts w:cs="Calibri"/>
          <w:lang w:val="en-GB"/>
        </w:rPr>
        <w:t>.</w:t>
      </w:r>
    </w:p>
    <w:p w:rsidR="00A97C31" w:rsidRPr="003A78F3" w:rsidRDefault="0034311A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2010-2014 </w:t>
      </w:r>
      <w:r w:rsidR="00622566" w:rsidRPr="003A78F3">
        <w:rPr>
          <w:rFonts w:cs="Calibri"/>
          <w:lang w:val="en-GB"/>
        </w:rPr>
        <w:t xml:space="preserve">Strategy for the </w:t>
      </w:r>
      <w:r w:rsidRPr="003A78F3">
        <w:rPr>
          <w:rFonts w:cs="Calibri"/>
          <w:lang w:val="en-GB"/>
        </w:rPr>
        <w:t>D</w:t>
      </w:r>
      <w:r w:rsidR="00622566" w:rsidRPr="003A78F3">
        <w:rPr>
          <w:rFonts w:cs="Calibri"/>
          <w:lang w:val="en-GB"/>
        </w:rPr>
        <w:t xml:space="preserve">evelopment of </w:t>
      </w:r>
      <w:r w:rsidRPr="003A78F3">
        <w:rPr>
          <w:rFonts w:cs="Calibri"/>
          <w:lang w:val="en-GB"/>
        </w:rPr>
        <w:t xml:space="preserve">Internal Financial Control of </w:t>
      </w:r>
      <w:r w:rsidR="00622566" w:rsidRPr="003A78F3">
        <w:rPr>
          <w:rFonts w:cs="Calibri"/>
          <w:lang w:val="en-GB"/>
        </w:rPr>
        <w:t xml:space="preserve">FBiH was the basis for the introduction of PIFC in FBiH. </w:t>
      </w:r>
      <w:r w:rsidRPr="003A78F3">
        <w:rPr>
          <w:rFonts w:cs="Calibri"/>
          <w:lang w:val="en-GB"/>
        </w:rPr>
        <w:t xml:space="preserve">CHU </w:t>
      </w:r>
      <w:r w:rsidR="000E15B3" w:rsidRPr="003A78F3">
        <w:rPr>
          <w:rFonts w:cs="Calibri"/>
          <w:lang w:val="en-GB"/>
        </w:rPr>
        <w:t>is located in</w:t>
      </w:r>
      <w:r w:rsidR="00622566" w:rsidRPr="003A78F3">
        <w:rPr>
          <w:rFonts w:cs="Calibri"/>
          <w:lang w:val="en-GB"/>
        </w:rPr>
        <w:t xml:space="preserve"> the </w:t>
      </w:r>
      <w:r w:rsidRPr="003A78F3">
        <w:rPr>
          <w:rFonts w:cs="Calibri"/>
          <w:lang w:val="en-GB"/>
        </w:rPr>
        <w:t>FBiH</w:t>
      </w:r>
      <w:r w:rsidR="00622566" w:rsidRPr="003A78F3">
        <w:rPr>
          <w:rFonts w:cs="Calibri"/>
          <w:lang w:val="en-GB"/>
        </w:rPr>
        <w:t xml:space="preserve"> Ministry of Finance (FMF) </w:t>
      </w:r>
      <w:r w:rsidR="000E15B3" w:rsidRPr="003A78F3">
        <w:rPr>
          <w:rFonts w:cs="Calibri"/>
          <w:lang w:val="en-GB"/>
        </w:rPr>
        <w:t>and</w:t>
      </w:r>
      <w:r w:rsidRPr="003A78F3">
        <w:rPr>
          <w:rFonts w:cs="Calibri"/>
          <w:lang w:val="en-GB"/>
        </w:rPr>
        <w:t xml:space="preserve"> act</w:t>
      </w:r>
      <w:r w:rsidR="000E15B3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 as a coordinating body for the development of </w:t>
      </w:r>
      <w:r w:rsidRPr="003A78F3">
        <w:rPr>
          <w:rFonts w:cs="Calibri"/>
          <w:lang w:val="en-GB"/>
        </w:rPr>
        <w:t xml:space="preserve">the </w:t>
      </w:r>
      <w:r w:rsidR="000B265D" w:rsidRPr="003A78F3">
        <w:rPr>
          <w:rFonts w:cs="Calibri"/>
          <w:lang w:val="en-GB"/>
        </w:rPr>
        <w:t xml:space="preserve">FMC and IA </w:t>
      </w:r>
      <w:r w:rsidR="00622566" w:rsidRPr="003A78F3">
        <w:rPr>
          <w:rFonts w:cs="Calibri"/>
          <w:lang w:val="en-GB"/>
        </w:rPr>
        <w:t>methodology and work standards, organi</w:t>
      </w:r>
      <w:r w:rsidR="00423DE5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>ing training</w:t>
      </w:r>
      <w:r w:rsidR="00423DE5" w:rsidRPr="003A78F3">
        <w:rPr>
          <w:rFonts w:cs="Calibri"/>
          <w:lang w:val="en-GB"/>
        </w:rPr>
        <w:t>,</w:t>
      </w:r>
      <w:r w:rsidR="00622566" w:rsidRPr="003A78F3">
        <w:rPr>
          <w:rFonts w:cs="Calibri"/>
          <w:lang w:val="en-GB"/>
        </w:rPr>
        <w:t xml:space="preserve"> and checking the quality of the </w:t>
      </w:r>
      <w:r w:rsidR="00423DE5" w:rsidRPr="003A78F3">
        <w:rPr>
          <w:rFonts w:cs="Calibri"/>
          <w:lang w:val="en-GB"/>
        </w:rPr>
        <w:t xml:space="preserve">internal financial control </w:t>
      </w:r>
      <w:r w:rsidR="00622566" w:rsidRPr="003A78F3">
        <w:rPr>
          <w:rFonts w:cs="Calibri"/>
          <w:lang w:val="en-GB"/>
        </w:rPr>
        <w:t xml:space="preserve">system. In accordance with the Law on Internal Audit, CHU has </w:t>
      </w:r>
      <w:r w:rsidR="00423DE5" w:rsidRPr="003A78F3">
        <w:rPr>
          <w:rFonts w:cs="Calibri"/>
          <w:lang w:val="en-GB"/>
        </w:rPr>
        <w:t>to date</w:t>
      </w:r>
      <w:r w:rsidR="00622566" w:rsidRPr="003A78F3">
        <w:rPr>
          <w:rFonts w:cs="Calibri"/>
          <w:lang w:val="en-GB"/>
        </w:rPr>
        <w:t xml:space="preserve"> prepared four annual consolidated </w:t>
      </w:r>
      <w:r w:rsidR="00423DE5" w:rsidRPr="003A78F3">
        <w:rPr>
          <w:rFonts w:cs="Calibri"/>
          <w:lang w:val="en-GB"/>
        </w:rPr>
        <w:lastRenderedPageBreak/>
        <w:t>reports</w:t>
      </w:r>
      <w:r w:rsidR="00622566" w:rsidRPr="003A78F3">
        <w:rPr>
          <w:rFonts w:cs="Calibri"/>
          <w:lang w:val="en-GB"/>
        </w:rPr>
        <w:t xml:space="preserve"> (for 2011, 2012 and 2013) on the state of internal audit</w:t>
      </w:r>
      <w:r w:rsidR="00423DE5" w:rsidRPr="003A78F3">
        <w:rPr>
          <w:rFonts w:cs="Calibri"/>
          <w:lang w:val="en-GB"/>
        </w:rPr>
        <w:t>, which</w:t>
      </w:r>
      <w:r w:rsidR="00622566" w:rsidRPr="003A78F3">
        <w:rPr>
          <w:rFonts w:cs="Calibri"/>
          <w:lang w:val="en-GB"/>
        </w:rPr>
        <w:t xml:space="preserve"> the </w:t>
      </w:r>
      <w:r w:rsidR="008D26E3">
        <w:rPr>
          <w:rFonts w:cs="Calibri"/>
          <w:lang w:val="en-GB"/>
        </w:rPr>
        <w:t>F</w:t>
      </w:r>
      <w:r w:rsidR="00622566" w:rsidRPr="003A78F3">
        <w:rPr>
          <w:rFonts w:cs="Calibri"/>
          <w:lang w:val="en-GB"/>
        </w:rPr>
        <w:t>MF submitted to t</w:t>
      </w:r>
      <w:r w:rsidR="00423DE5" w:rsidRPr="003A78F3">
        <w:rPr>
          <w:rFonts w:cs="Calibri"/>
          <w:lang w:val="en-GB"/>
        </w:rPr>
        <w:t>he Government of F</w:t>
      </w:r>
      <w:r w:rsidR="00622566" w:rsidRPr="003A78F3">
        <w:rPr>
          <w:rFonts w:cs="Calibri"/>
          <w:lang w:val="en-GB"/>
        </w:rPr>
        <w:t xml:space="preserve">BiH. In practice, </w:t>
      </w:r>
      <w:r w:rsidR="00423DE5" w:rsidRPr="003A78F3">
        <w:rPr>
          <w:rFonts w:cs="Calibri"/>
          <w:lang w:val="en-GB"/>
        </w:rPr>
        <w:t xml:space="preserve">however, </w:t>
      </w:r>
      <w:r w:rsidR="000B265D" w:rsidRPr="003A78F3">
        <w:rPr>
          <w:rFonts w:cs="Calibri"/>
          <w:lang w:val="en-GB"/>
        </w:rPr>
        <w:t>internal audit function has not yet been established in all i</w:t>
      </w:r>
      <w:r w:rsidR="00622566" w:rsidRPr="003A78F3">
        <w:rPr>
          <w:rFonts w:cs="Calibri"/>
          <w:lang w:val="en-GB"/>
        </w:rPr>
        <w:t>nstitutions</w:t>
      </w:r>
      <w:r w:rsidR="00423DE5" w:rsidRPr="003A78F3">
        <w:rPr>
          <w:rFonts w:cs="Calibri"/>
          <w:lang w:val="en-GB"/>
        </w:rPr>
        <w:t xml:space="preserve">, or if </w:t>
      </w:r>
      <w:r w:rsidR="000B265D" w:rsidRPr="003A78F3">
        <w:rPr>
          <w:rFonts w:cs="Calibri"/>
          <w:lang w:val="en-GB"/>
        </w:rPr>
        <w:t>it has</w:t>
      </w:r>
      <w:r w:rsidR="00423DE5" w:rsidRPr="003A78F3">
        <w:rPr>
          <w:rFonts w:cs="Calibri"/>
          <w:lang w:val="en-GB"/>
        </w:rPr>
        <w:t xml:space="preserve">, </w:t>
      </w:r>
      <w:r w:rsidR="00B56999" w:rsidRPr="003A78F3">
        <w:rPr>
          <w:rFonts w:cs="Calibri"/>
          <w:lang w:val="en-GB"/>
        </w:rPr>
        <w:t>it is not always</w:t>
      </w:r>
      <w:r w:rsidR="00423DE5" w:rsidRPr="003A78F3">
        <w:rPr>
          <w:rFonts w:cs="Calibri"/>
          <w:lang w:val="en-GB"/>
        </w:rPr>
        <w:t xml:space="preserve"> </w:t>
      </w:r>
      <w:r w:rsidR="008D26E3">
        <w:rPr>
          <w:rFonts w:cs="Calibri"/>
          <w:lang w:val="en-GB"/>
        </w:rPr>
        <w:t xml:space="preserve">fully </w:t>
      </w:r>
      <w:r w:rsidR="00423DE5" w:rsidRPr="003A78F3">
        <w:rPr>
          <w:rFonts w:cs="Calibri"/>
          <w:lang w:val="en-GB"/>
        </w:rPr>
        <w:t xml:space="preserve">compliant with applicable regulations </w:t>
      </w:r>
      <w:r w:rsidR="004226AC" w:rsidRPr="003A78F3">
        <w:rPr>
          <w:rFonts w:cs="Calibri"/>
          <w:lang w:val="en-GB"/>
        </w:rPr>
        <w:t xml:space="preserve">in terms of </w:t>
      </w:r>
      <w:r w:rsidR="00B56999" w:rsidRPr="003A78F3">
        <w:rPr>
          <w:rFonts w:cs="Calibri"/>
          <w:lang w:val="en-GB"/>
        </w:rPr>
        <w:t>its location</w:t>
      </w:r>
      <w:r w:rsidR="00622566" w:rsidRPr="003A78F3">
        <w:rPr>
          <w:rFonts w:cs="Calibri"/>
          <w:lang w:val="en-GB"/>
        </w:rPr>
        <w:t xml:space="preserve"> in the organi</w:t>
      </w:r>
      <w:r w:rsidR="004226AC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>ation</w:t>
      </w:r>
      <w:r w:rsidR="004226AC" w:rsidRPr="003A78F3">
        <w:rPr>
          <w:rFonts w:cs="Calibri"/>
          <w:lang w:val="en-GB"/>
        </w:rPr>
        <w:t>al structure</w:t>
      </w:r>
      <w:r w:rsidR="00622566" w:rsidRPr="003A78F3">
        <w:rPr>
          <w:rFonts w:cs="Calibri"/>
          <w:lang w:val="en-GB"/>
        </w:rPr>
        <w:t xml:space="preserve"> and </w:t>
      </w:r>
      <w:r w:rsidR="004226AC"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description of </w:t>
      </w:r>
      <w:r w:rsidR="00B56999" w:rsidRPr="003A78F3">
        <w:rPr>
          <w:rFonts w:cs="Calibri"/>
          <w:lang w:val="en-GB"/>
        </w:rPr>
        <w:t xml:space="preserve">its </w:t>
      </w:r>
      <w:r w:rsidR="004226AC" w:rsidRPr="003A78F3">
        <w:rPr>
          <w:rFonts w:cs="Calibri"/>
          <w:lang w:val="en-GB"/>
        </w:rPr>
        <w:t>tasks</w:t>
      </w:r>
      <w:r w:rsidR="00622566" w:rsidRPr="003A78F3">
        <w:rPr>
          <w:rFonts w:cs="Calibri"/>
          <w:lang w:val="en-GB"/>
        </w:rPr>
        <w:t xml:space="preserve">. One of the problems is the </w:t>
      </w:r>
      <w:r w:rsidR="004226AC" w:rsidRPr="003A78F3">
        <w:rPr>
          <w:rFonts w:cs="Calibri"/>
          <w:lang w:val="en-GB"/>
        </w:rPr>
        <w:t>inability to staff them with</w:t>
      </w:r>
      <w:r w:rsidR="00622566" w:rsidRPr="003A78F3">
        <w:rPr>
          <w:rFonts w:cs="Calibri"/>
          <w:lang w:val="en-GB"/>
        </w:rPr>
        <w:t xml:space="preserve"> qualified personnel due to the complex administrative structure of FBiH and a large number of </w:t>
      </w:r>
      <w:r w:rsidR="004226AC" w:rsidRPr="003A78F3">
        <w:rPr>
          <w:rFonts w:cs="Calibri"/>
          <w:lang w:val="en-GB"/>
        </w:rPr>
        <w:t xml:space="preserve">institutions that are under obligation to </w:t>
      </w:r>
      <w:r w:rsidR="00622566" w:rsidRPr="003A78F3">
        <w:rPr>
          <w:rFonts w:cs="Calibri"/>
          <w:lang w:val="en-GB"/>
        </w:rPr>
        <w:t>establish th</w:t>
      </w:r>
      <w:r w:rsidR="00B56999" w:rsidRPr="003A78F3">
        <w:rPr>
          <w:rFonts w:cs="Calibri"/>
          <w:lang w:val="en-GB"/>
        </w:rPr>
        <w:t>e IA</w:t>
      </w:r>
      <w:r w:rsidR="00622566" w:rsidRPr="003A78F3">
        <w:rPr>
          <w:rFonts w:cs="Calibri"/>
          <w:lang w:val="en-GB"/>
        </w:rPr>
        <w:t xml:space="preserve"> function. Also, internal auditor</w:t>
      </w:r>
      <w:r w:rsidR="004226AC" w:rsidRPr="003A78F3">
        <w:rPr>
          <w:rFonts w:cs="Calibri"/>
          <w:lang w:val="en-GB"/>
        </w:rPr>
        <w:t>s</w:t>
      </w:r>
      <w:r w:rsidR="00622566" w:rsidRPr="003A78F3">
        <w:rPr>
          <w:rFonts w:cs="Calibri"/>
          <w:lang w:val="en-GB"/>
        </w:rPr>
        <w:t xml:space="preserve"> </w:t>
      </w:r>
      <w:r w:rsidR="004226AC" w:rsidRPr="003A78F3">
        <w:rPr>
          <w:rFonts w:cs="Calibri"/>
          <w:lang w:val="en-GB"/>
        </w:rPr>
        <w:t>cannot be tolerated to</w:t>
      </w:r>
      <w:r w:rsidR="00622566" w:rsidRPr="003A78F3">
        <w:rPr>
          <w:rFonts w:cs="Calibri"/>
          <w:lang w:val="en-GB"/>
        </w:rPr>
        <w:t xml:space="preserve"> perform </w:t>
      </w:r>
      <w:r w:rsidR="00EB7D63" w:rsidRPr="003A78F3">
        <w:rPr>
          <w:rFonts w:cs="Calibri"/>
          <w:lang w:val="en-GB"/>
        </w:rPr>
        <w:t xml:space="preserve">any </w:t>
      </w:r>
      <w:r w:rsidR="00622566" w:rsidRPr="003A78F3">
        <w:rPr>
          <w:rFonts w:cs="Calibri"/>
          <w:lang w:val="en-GB"/>
        </w:rPr>
        <w:t xml:space="preserve">other tasks in </w:t>
      </w:r>
      <w:r w:rsidR="00EB7D63" w:rsidRPr="003A78F3">
        <w:rPr>
          <w:rFonts w:cs="Calibri"/>
          <w:lang w:val="en-GB"/>
        </w:rPr>
        <w:t xml:space="preserve">addition to their internal audit duties, e.g. </w:t>
      </w:r>
      <w:r w:rsidR="004226AC" w:rsidRPr="003A78F3">
        <w:rPr>
          <w:rFonts w:cs="Calibri"/>
          <w:lang w:val="en-GB"/>
        </w:rPr>
        <w:t>to serve</w:t>
      </w:r>
      <w:r w:rsidR="00622566" w:rsidRPr="003A78F3">
        <w:rPr>
          <w:rFonts w:cs="Calibri"/>
          <w:lang w:val="en-GB"/>
        </w:rPr>
        <w:t xml:space="preserve"> as a member of </w:t>
      </w:r>
      <w:r w:rsidR="004226AC" w:rsidRPr="003A78F3">
        <w:rPr>
          <w:rFonts w:cs="Calibri"/>
          <w:lang w:val="en-GB"/>
        </w:rPr>
        <w:t>a c</w:t>
      </w:r>
      <w:r w:rsidR="00622566" w:rsidRPr="003A78F3">
        <w:rPr>
          <w:rFonts w:cs="Calibri"/>
          <w:lang w:val="en-GB"/>
        </w:rPr>
        <w:t xml:space="preserve">ommission, </w:t>
      </w:r>
      <w:r w:rsidR="004226AC" w:rsidRPr="003A78F3">
        <w:rPr>
          <w:rFonts w:cs="Calibri"/>
          <w:lang w:val="en-GB"/>
        </w:rPr>
        <w:t>as this</w:t>
      </w:r>
      <w:r w:rsidR="00622566" w:rsidRPr="003A78F3">
        <w:rPr>
          <w:rFonts w:cs="Calibri"/>
          <w:lang w:val="en-GB"/>
        </w:rPr>
        <w:t xml:space="preserve"> </w:t>
      </w:r>
      <w:r w:rsidR="004226AC" w:rsidRPr="003A78F3">
        <w:rPr>
          <w:rFonts w:cs="Calibri"/>
          <w:lang w:val="en-GB"/>
        </w:rPr>
        <w:t xml:space="preserve">clearly constitutes </w:t>
      </w:r>
      <w:r w:rsidR="00622566" w:rsidRPr="003A78F3">
        <w:rPr>
          <w:rFonts w:cs="Calibri"/>
          <w:lang w:val="en-GB"/>
        </w:rPr>
        <w:t xml:space="preserve">a conflict of interest. CHU is working </w:t>
      </w:r>
      <w:r w:rsidR="00EB7D63" w:rsidRPr="003A78F3">
        <w:rPr>
          <w:rFonts w:cs="Calibri"/>
          <w:lang w:val="en-GB"/>
        </w:rPr>
        <w:t xml:space="preserve">on an ongoing basis to provide training to internal audit </w:t>
      </w:r>
      <w:r w:rsidR="00AB7101" w:rsidRPr="003A78F3">
        <w:rPr>
          <w:rFonts w:cs="Calibri"/>
          <w:lang w:val="en-GB"/>
        </w:rPr>
        <w:t>staff</w:t>
      </w:r>
      <w:r w:rsidR="00622566" w:rsidRPr="003A78F3">
        <w:rPr>
          <w:rFonts w:cs="Calibri"/>
          <w:lang w:val="en-GB"/>
        </w:rPr>
        <w:t xml:space="preserve">. 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RS </w:t>
      </w:r>
      <w:r w:rsidR="00EB7D63" w:rsidRPr="003A78F3">
        <w:rPr>
          <w:rFonts w:cs="Calibri"/>
          <w:lang w:val="en-GB"/>
        </w:rPr>
        <w:t xml:space="preserve">has </w:t>
      </w:r>
      <w:r w:rsidRPr="003A78F3">
        <w:rPr>
          <w:rFonts w:cs="Calibri"/>
          <w:lang w:val="en-GB"/>
        </w:rPr>
        <w:t xml:space="preserve">formed </w:t>
      </w:r>
      <w:r w:rsidR="00E841EF" w:rsidRPr="003A78F3">
        <w:rPr>
          <w:rFonts w:cs="Calibri"/>
          <w:lang w:val="en-GB"/>
        </w:rPr>
        <w:t>the</w:t>
      </w:r>
      <w:r w:rsidR="00EB7D63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>CHU</w:t>
      </w:r>
      <w:r w:rsidR="00E841EF" w:rsidRPr="003A78F3">
        <w:rPr>
          <w:rFonts w:cs="Calibri"/>
          <w:lang w:val="en-GB"/>
        </w:rPr>
        <w:t xml:space="preserve"> that</w:t>
      </w:r>
      <w:r w:rsidR="00EB7D63" w:rsidRPr="003A78F3">
        <w:rPr>
          <w:rFonts w:cs="Calibri"/>
          <w:lang w:val="en-GB"/>
        </w:rPr>
        <w:t xml:space="preserve"> proposes</w:t>
      </w:r>
      <w:r w:rsidRPr="003A78F3">
        <w:rPr>
          <w:rFonts w:cs="Calibri"/>
          <w:lang w:val="en-GB"/>
        </w:rPr>
        <w:t xml:space="preserve"> legislation in the field of financial management and control </w:t>
      </w:r>
      <w:r w:rsidR="00B97E7E" w:rsidRPr="003A78F3">
        <w:rPr>
          <w:rFonts w:cs="Calibri"/>
          <w:lang w:val="en-GB"/>
        </w:rPr>
        <w:t xml:space="preserve">(FMC) </w:t>
      </w:r>
      <w:r w:rsidRPr="003A78F3">
        <w:rPr>
          <w:rFonts w:cs="Calibri"/>
          <w:lang w:val="en-GB"/>
        </w:rPr>
        <w:t>and internal audit</w:t>
      </w:r>
      <w:r w:rsidR="00B97E7E" w:rsidRPr="003A78F3">
        <w:rPr>
          <w:rFonts w:cs="Calibri"/>
          <w:lang w:val="en-GB"/>
        </w:rPr>
        <w:t xml:space="preserve"> (IA)</w:t>
      </w:r>
      <w:r w:rsidRPr="003A78F3">
        <w:rPr>
          <w:rFonts w:cs="Calibri"/>
          <w:lang w:val="en-GB"/>
        </w:rPr>
        <w:t xml:space="preserve">, and </w:t>
      </w:r>
      <w:r w:rsidR="00E841EF" w:rsidRPr="003A78F3">
        <w:rPr>
          <w:rFonts w:cs="Calibri"/>
          <w:lang w:val="en-GB"/>
        </w:rPr>
        <w:t>oversees</w:t>
      </w:r>
      <w:r w:rsidRPr="003A78F3">
        <w:rPr>
          <w:rFonts w:cs="Calibri"/>
          <w:lang w:val="en-GB"/>
        </w:rPr>
        <w:t xml:space="preserve"> the implementation of adopted legislation. CHU prepares consolidated annual report</w:t>
      </w:r>
      <w:r w:rsidR="00E841EF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 on the financial management and internal control </w:t>
      </w:r>
      <w:r w:rsidR="00E841EF" w:rsidRPr="003A78F3">
        <w:rPr>
          <w:rFonts w:cs="Calibri"/>
          <w:lang w:val="en-GB"/>
        </w:rPr>
        <w:t xml:space="preserve">system </w:t>
      </w:r>
      <w:r w:rsidRPr="003A78F3">
        <w:rPr>
          <w:rFonts w:cs="Calibri"/>
          <w:lang w:val="en-GB"/>
        </w:rPr>
        <w:t xml:space="preserve">in public sector institutions and annual reports </w:t>
      </w:r>
      <w:r w:rsidR="002A30AA" w:rsidRPr="003A78F3">
        <w:rPr>
          <w:rFonts w:cs="Calibri"/>
          <w:lang w:val="en-GB"/>
        </w:rPr>
        <w:t>on</w:t>
      </w:r>
      <w:r w:rsidRPr="003A78F3">
        <w:rPr>
          <w:rFonts w:cs="Calibri"/>
          <w:lang w:val="en-GB"/>
        </w:rPr>
        <w:t xml:space="preserve"> internal audit function in the public sector of the </w:t>
      </w:r>
      <w:r w:rsidR="00B94524" w:rsidRPr="003A78F3">
        <w:rPr>
          <w:rFonts w:cs="Calibri"/>
          <w:lang w:val="en-GB"/>
        </w:rPr>
        <w:t>Republika Srpska</w:t>
      </w:r>
      <w:r w:rsidRPr="003A78F3">
        <w:rPr>
          <w:rFonts w:cs="Calibri"/>
          <w:lang w:val="en-GB"/>
        </w:rPr>
        <w:t xml:space="preserve">. CHU has four </w:t>
      </w:r>
      <w:r w:rsidR="000429DE" w:rsidRPr="003A78F3">
        <w:rPr>
          <w:rFonts w:cs="Calibri"/>
          <w:lang w:val="en-GB"/>
        </w:rPr>
        <w:t>departments: d</w:t>
      </w:r>
      <w:r w:rsidRPr="003A78F3">
        <w:rPr>
          <w:rFonts w:cs="Calibri"/>
          <w:lang w:val="en-GB"/>
        </w:rPr>
        <w:t xml:space="preserve">epartment for </w:t>
      </w:r>
      <w:r w:rsidR="00B97E7E" w:rsidRPr="003A78F3">
        <w:rPr>
          <w:rFonts w:cs="Calibri"/>
          <w:lang w:val="en-GB"/>
        </w:rPr>
        <w:t xml:space="preserve">FMC </w:t>
      </w:r>
      <w:r w:rsidRPr="003A78F3">
        <w:rPr>
          <w:rFonts w:cs="Calibri"/>
          <w:lang w:val="en-GB"/>
        </w:rPr>
        <w:t xml:space="preserve">regulation and supervision; </w:t>
      </w:r>
      <w:r w:rsidR="000429DE" w:rsidRPr="003A78F3">
        <w:rPr>
          <w:rFonts w:cs="Calibri"/>
          <w:lang w:val="en-GB"/>
        </w:rPr>
        <w:t>d</w:t>
      </w:r>
      <w:r w:rsidRPr="003A78F3">
        <w:rPr>
          <w:rFonts w:cs="Calibri"/>
          <w:lang w:val="en-GB"/>
        </w:rPr>
        <w:t xml:space="preserve">epartment for </w:t>
      </w:r>
      <w:r w:rsidR="00B97E7E" w:rsidRPr="003A78F3">
        <w:rPr>
          <w:rFonts w:cs="Calibri"/>
          <w:lang w:val="en-GB"/>
        </w:rPr>
        <w:t xml:space="preserve">IA </w:t>
      </w:r>
      <w:r w:rsidRPr="003A78F3">
        <w:rPr>
          <w:rFonts w:cs="Calibri"/>
          <w:lang w:val="en-GB"/>
        </w:rPr>
        <w:t xml:space="preserve">regulation and supervision; </w:t>
      </w:r>
      <w:r w:rsidR="000429DE" w:rsidRPr="003A78F3">
        <w:rPr>
          <w:rFonts w:cs="Calibri"/>
          <w:lang w:val="en-GB"/>
        </w:rPr>
        <w:t>d</w:t>
      </w:r>
      <w:r w:rsidRPr="003A78F3">
        <w:rPr>
          <w:rFonts w:cs="Calibri"/>
          <w:lang w:val="en-GB"/>
        </w:rPr>
        <w:t xml:space="preserve">epartment </w:t>
      </w:r>
      <w:r w:rsidR="000429DE" w:rsidRPr="003A78F3">
        <w:rPr>
          <w:rFonts w:cs="Calibri"/>
          <w:lang w:val="en-GB"/>
        </w:rPr>
        <w:t>for</w:t>
      </w:r>
      <w:r w:rsidRPr="003A78F3">
        <w:rPr>
          <w:rFonts w:cs="Calibri"/>
          <w:lang w:val="en-GB"/>
        </w:rPr>
        <w:t xml:space="preserve"> information and communication</w:t>
      </w:r>
      <w:r w:rsidR="000429DE" w:rsidRPr="003A78F3">
        <w:rPr>
          <w:rFonts w:cs="Calibri"/>
          <w:lang w:val="en-GB"/>
        </w:rPr>
        <w:t>;</w:t>
      </w:r>
      <w:r w:rsidRPr="003A78F3">
        <w:rPr>
          <w:rFonts w:cs="Calibri"/>
          <w:lang w:val="en-GB"/>
        </w:rPr>
        <w:t xml:space="preserve"> and </w:t>
      </w:r>
      <w:r w:rsidR="000429DE" w:rsidRPr="003A78F3">
        <w:rPr>
          <w:rFonts w:cs="Calibri"/>
          <w:lang w:val="en-GB"/>
        </w:rPr>
        <w:t>d</w:t>
      </w:r>
      <w:r w:rsidRPr="003A78F3">
        <w:rPr>
          <w:rFonts w:cs="Calibri"/>
          <w:lang w:val="en-GB"/>
        </w:rPr>
        <w:t xml:space="preserve">epartment for the </w:t>
      </w:r>
      <w:r w:rsidR="00B97E7E" w:rsidRPr="003A78F3">
        <w:rPr>
          <w:rFonts w:cs="Calibri"/>
          <w:lang w:val="en-GB"/>
        </w:rPr>
        <w:t>development and supervision</w:t>
      </w:r>
      <w:r w:rsidRPr="003A78F3">
        <w:rPr>
          <w:rFonts w:cs="Calibri"/>
          <w:lang w:val="en-GB"/>
        </w:rPr>
        <w:t xml:space="preserve"> of training program</w:t>
      </w:r>
      <w:r w:rsidR="000429DE" w:rsidRPr="003A78F3">
        <w:rPr>
          <w:rFonts w:cs="Calibri"/>
          <w:lang w:val="en-GB"/>
        </w:rPr>
        <w:t>me</w:t>
      </w:r>
      <w:r w:rsidRPr="003A78F3">
        <w:rPr>
          <w:rFonts w:cs="Calibri"/>
          <w:lang w:val="en-GB"/>
        </w:rPr>
        <w:t xml:space="preserve">s for internal auditors and </w:t>
      </w:r>
      <w:r w:rsidR="00B97E7E" w:rsidRPr="003A78F3">
        <w:rPr>
          <w:rFonts w:cs="Calibri"/>
          <w:lang w:val="en-GB"/>
        </w:rPr>
        <w:t xml:space="preserve">financial management </w:t>
      </w:r>
      <w:r w:rsidRPr="003A78F3">
        <w:rPr>
          <w:rFonts w:cs="Calibri"/>
          <w:lang w:val="en-GB"/>
        </w:rPr>
        <w:t>staff.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website of </w:t>
      </w:r>
      <w:r w:rsidR="00B97E7E" w:rsidRPr="003A78F3">
        <w:rPr>
          <w:rFonts w:cs="Calibri"/>
          <w:lang w:val="en-GB"/>
        </w:rPr>
        <w:t xml:space="preserve">RS </w:t>
      </w:r>
      <w:r w:rsidRPr="003A78F3">
        <w:rPr>
          <w:rFonts w:cs="Calibri"/>
          <w:lang w:val="en-GB"/>
        </w:rPr>
        <w:t>CHU</w:t>
      </w:r>
      <w:r w:rsidRPr="003A78F3">
        <w:rPr>
          <w:rFonts w:cs="Calibri"/>
          <w:vertAlign w:val="superscript"/>
          <w:lang w:val="en-GB"/>
        </w:rPr>
        <w:footnoteReference w:id="8"/>
      </w:r>
      <w:r w:rsidR="00EB48FA" w:rsidRPr="003A78F3">
        <w:rPr>
          <w:rFonts w:cs="Calibri"/>
          <w:lang w:val="en-GB"/>
        </w:rPr>
        <w:t xml:space="preserve"> contains relevant laws and implementing</w:t>
      </w:r>
      <w:r w:rsidRPr="003A78F3">
        <w:rPr>
          <w:rFonts w:cs="Calibri"/>
          <w:lang w:val="en-GB"/>
        </w:rPr>
        <w:t xml:space="preserve"> regulations, forms, instructions and information</w:t>
      </w:r>
      <w:r w:rsidR="00B56999" w:rsidRPr="003A78F3">
        <w:rPr>
          <w:rFonts w:cs="Calibri"/>
          <w:lang w:val="en-GB"/>
        </w:rPr>
        <w:t>. However,</w:t>
      </w:r>
      <w:r w:rsidRPr="003A78F3">
        <w:rPr>
          <w:rFonts w:cs="Calibri"/>
          <w:lang w:val="en-GB"/>
        </w:rPr>
        <w:t xml:space="preserve"> </w:t>
      </w:r>
      <w:r w:rsidR="0044350C" w:rsidRPr="003A78F3">
        <w:rPr>
          <w:rFonts w:cs="Calibri"/>
          <w:lang w:val="en-GB"/>
        </w:rPr>
        <w:t xml:space="preserve">transparency of CHU’s work leaves much to be desired as </w:t>
      </w:r>
      <w:r w:rsidR="00EB48FA" w:rsidRPr="003A78F3">
        <w:rPr>
          <w:rFonts w:cs="Calibri"/>
          <w:lang w:val="en-GB"/>
        </w:rPr>
        <w:t>the only report</w:t>
      </w:r>
      <w:r w:rsidRPr="003A78F3">
        <w:rPr>
          <w:rFonts w:cs="Calibri"/>
          <w:lang w:val="en-GB"/>
        </w:rPr>
        <w:t xml:space="preserve"> available </w:t>
      </w:r>
      <w:r w:rsidR="00B56999" w:rsidRPr="003A78F3">
        <w:rPr>
          <w:rFonts w:cs="Calibri"/>
          <w:lang w:val="en-GB"/>
        </w:rPr>
        <w:t xml:space="preserve">on </w:t>
      </w:r>
      <w:r w:rsidR="008D26E3">
        <w:rPr>
          <w:rFonts w:cs="Calibri"/>
          <w:lang w:val="en-GB"/>
        </w:rPr>
        <w:t>its</w:t>
      </w:r>
      <w:r w:rsidR="00B56999" w:rsidRPr="003A78F3">
        <w:rPr>
          <w:rFonts w:cs="Calibri"/>
          <w:lang w:val="en-GB"/>
        </w:rPr>
        <w:t xml:space="preserve"> website </w:t>
      </w:r>
      <w:r w:rsidR="00EB48FA" w:rsidRPr="003A78F3">
        <w:rPr>
          <w:rFonts w:cs="Calibri"/>
          <w:lang w:val="en-GB"/>
        </w:rPr>
        <w:t>is the</w:t>
      </w:r>
      <w:r w:rsidRPr="003A78F3">
        <w:rPr>
          <w:rFonts w:cs="Calibri"/>
          <w:lang w:val="en-GB"/>
        </w:rPr>
        <w:t xml:space="preserve"> consolidated report on internal financial control for 2011.</w:t>
      </w:r>
    </w:p>
    <w:p w:rsidR="00A97C31" w:rsidRPr="003A78F3" w:rsidRDefault="00622566" w:rsidP="00403657">
      <w:pPr>
        <w:spacing w:after="0"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Audit Office </w:t>
      </w:r>
      <w:r w:rsidR="001C77DD" w:rsidRPr="003A78F3">
        <w:rPr>
          <w:rFonts w:cs="Calibri"/>
          <w:lang w:val="en-GB"/>
        </w:rPr>
        <w:t xml:space="preserve">for Public Administration and Institutions in the </w:t>
      </w:r>
      <w:r w:rsidR="00B94524" w:rsidRPr="003A78F3">
        <w:rPr>
          <w:rFonts w:cs="Calibri"/>
          <w:lang w:val="en-GB"/>
        </w:rPr>
        <w:t>Brčko</w:t>
      </w:r>
      <w:r w:rsidRPr="003A78F3">
        <w:rPr>
          <w:rFonts w:cs="Calibri"/>
          <w:lang w:val="en-GB"/>
        </w:rPr>
        <w:t xml:space="preserve"> District</w:t>
      </w:r>
      <w:r w:rsidR="008234B0" w:rsidRPr="003A78F3">
        <w:rPr>
          <w:rFonts w:cs="Calibri"/>
          <w:lang w:val="en-GB"/>
        </w:rPr>
        <w:t xml:space="preserve"> of</w:t>
      </w:r>
      <w:r w:rsidRPr="003A78F3">
        <w:rPr>
          <w:rFonts w:cs="Calibri"/>
          <w:lang w:val="en-GB"/>
        </w:rPr>
        <w:t xml:space="preserve"> BiH was established in 2007 and </w:t>
      </w:r>
      <w:r w:rsidR="001C77DD" w:rsidRPr="003A78F3">
        <w:rPr>
          <w:rFonts w:cs="Calibri"/>
          <w:lang w:val="en-GB"/>
        </w:rPr>
        <w:t>operates</w:t>
      </w:r>
      <w:r w:rsidRPr="003A78F3">
        <w:rPr>
          <w:rFonts w:cs="Calibri"/>
          <w:lang w:val="en-GB"/>
        </w:rPr>
        <w:t xml:space="preserve"> </w:t>
      </w:r>
      <w:r w:rsidR="008234B0" w:rsidRPr="003A78F3">
        <w:rPr>
          <w:rFonts w:cs="Calibri"/>
          <w:lang w:val="en-GB"/>
        </w:rPr>
        <w:t xml:space="preserve">in accordance with the Law on Audit </w:t>
      </w:r>
      <w:r w:rsidRPr="003A78F3">
        <w:rPr>
          <w:rFonts w:cs="Calibri"/>
          <w:lang w:val="en-GB"/>
        </w:rPr>
        <w:t xml:space="preserve">of </w:t>
      </w:r>
      <w:r w:rsidR="008234B0" w:rsidRPr="003A78F3">
        <w:rPr>
          <w:rFonts w:cs="Calibri"/>
          <w:lang w:val="en-GB"/>
        </w:rPr>
        <w:t xml:space="preserve">Public Administration </w:t>
      </w:r>
      <w:r w:rsidRPr="003A78F3">
        <w:rPr>
          <w:rFonts w:cs="Calibri"/>
          <w:lang w:val="en-GB"/>
        </w:rPr>
        <w:t xml:space="preserve">and </w:t>
      </w:r>
      <w:r w:rsidR="008234B0" w:rsidRPr="003A78F3">
        <w:rPr>
          <w:rFonts w:cs="Calibri"/>
          <w:lang w:val="en-GB"/>
        </w:rPr>
        <w:t>Institutions in</w:t>
      </w:r>
      <w:r w:rsidRPr="003A78F3">
        <w:rPr>
          <w:rFonts w:cs="Calibri"/>
          <w:lang w:val="en-GB"/>
        </w:rPr>
        <w:t xml:space="preserve"> the </w:t>
      </w:r>
      <w:r w:rsidR="00B94524" w:rsidRPr="003A78F3">
        <w:rPr>
          <w:rFonts w:cs="Calibri"/>
          <w:lang w:val="en-GB"/>
        </w:rPr>
        <w:t>Brčko</w:t>
      </w:r>
      <w:r w:rsidR="00D06646" w:rsidRPr="003A78F3">
        <w:rPr>
          <w:rFonts w:cs="Calibri"/>
          <w:lang w:val="en-GB"/>
        </w:rPr>
        <w:t xml:space="preserve"> District of BiH (“</w:t>
      </w:r>
      <w:r w:rsidRPr="003A78F3">
        <w:rPr>
          <w:rFonts w:cs="Calibri"/>
          <w:lang w:val="en-GB"/>
        </w:rPr>
        <w:t>Official Gazette of</w:t>
      </w:r>
      <w:r w:rsidR="008234B0" w:rsidRPr="003A78F3">
        <w:rPr>
          <w:rFonts w:cs="Calibri"/>
          <w:lang w:val="en-GB"/>
        </w:rPr>
        <w:t xml:space="preserve"> the</w:t>
      </w:r>
      <w:r w:rsidRPr="003A78F3">
        <w:rPr>
          <w:rFonts w:cs="Calibri"/>
          <w:lang w:val="en-GB"/>
        </w:rPr>
        <w:t xml:space="preserve"> </w:t>
      </w:r>
      <w:r w:rsidR="00B94524" w:rsidRPr="003A78F3">
        <w:rPr>
          <w:rFonts w:cs="Calibri"/>
          <w:lang w:val="en-GB"/>
        </w:rPr>
        <w:t>Brčko</w:t>
      </w:r>
      <w:r w:rsidRPr="003A78F3">
        <w:rPr>
          <w:rFonts w:cs="Calibri"/>
          <w:lang w:val="en-GB"/>
        </w:rPr>
        <w:t xml:space="preserve"> District of BiH</w:t>
      </w:r>
      <w:r w:rsidR="00D06646" w:rsidRPr="003A78F3">
        <w:rPr>
          <w:rFonts w:cs="Calibri"/>
          <w:lang w:val="en-GB"/>
        </w:rPr>
        <w:t>”</w:t>
      </w:r>
      <w:r w:rsidRPr="003A78F3">
        <w:rPr>
          <w:rFonts w:cs="Calibri"/>
          <w:lang w:val="en-GB"/>
        </w:rPr>
        <w:t xml:space="preserve">, No. 40/08). BD Government adopted the </w:t>
      </w:r>
      <w:r w:rsidR="008234B0" w:rsidRPr="003A78F3">
        <w:rPr>
          <w:rFonts w:cs="Calibri"/>
          <w:lang w:val="en-GB"/>
        </w:rPr>
        <w:t xml:space="preserve">2014-2017 </w:t>
      </w:r>
      <w:r w:rsidRPr="003A78F3">
        <w:rPr>
          <w:rFonts w:cs="Calibri"/>
          <w:lang w:val="en-GB"/>
        </w:rPr>
        <w:t>Strategy for Development of Public Internal Financial Control (PIFC)</w:t>
      </w:r>
      <w:r w:rsidR="008234B0" w:rsidRPr="003A78F3">
        <w:rPr>
          <w:rFonts w:cs="Calibri"/>
          <w:lang w:val="en-GB"/>
        </w:rPr>
        <w:t xml:space="preserve"> with the aim of establishing</w:t>
      </w:r>
      <w:r w:rsidRPr="003A78F3">
        <w:rPr>
          <w:rFonts w:cs="Calibri"/>
          <w:lang w:val="en-GB"/>
        </w:rPr>
        <w:t xml:space="preserve"> the </w:t>
      </w:r>
      <w:r w:rsidR="008234B0" w:rsidRPr="003A78F3">
        <w:rPr>
          <w:rFonts w:cs="Calibri"/>
          <w:lang w:val="en-GB"/>
        </w:rPr>
        <w:t>internal control function</w:t>
      </w:r>
      <w:r w:rsidRPr="003A78F3">
        <w:rPr>
          <w:rFonts w:cs="Calibri"/>
          <w:lang w:val="en-GB"/>
        </w:rPr>
        <w:t xml:space="preserve">. The </w:t>
      </w:r>
      <w:r w:rsidR="008234B0" w:rsidRPr="003A78F3">
        <w:rPr>
          <w:rFonts w:cs="Calibri"/>
          <w:lang w:val="en-GB"/>
        </w:rPr>
        <w:t>La</w:t>
      </w:r>
      <w:r w:rsidRPr="003A78F3">
        <w:rPr>
          <w:rFonts w:cs="Calibri"/>
          <w:lang w:val="en-GB"/>
        </w:rPr>
        <w:t xml:space="preserve">w </w:t>
      </w:r>
      <w:r w:rsidR="008234B0" w:rsidRPr="003A78F3">
        <w:rPr>
          <w:rFonts w:cs="Calibri"/>
          <w:lang w:val="en-GB"/>
        </w:rPr>
        <w:t>provides that</w:t>
      </w:r>
      <w:r w:rsidRPr="003A78F3">
        <w:rPr>
          <w:rFonts w:cs="Calibri"/>
          <w:lang w:val="en-GB"/>
        </w:rPr>
        <w:t xml:space="preserve"> the Office </w:t>
      </w:r>
      <w:r w:rsidR="008234B0" w:rsidRPr="003A78F3">
        <w:rPr>
          <w:rFonts w:cs="Calibri"/>
          <w:lang w:val="en-GB"/>
        </w:rPr>
        <w:t>shall</w:t>
      </w:r>
      <w:r w:rsidRPr="003A78F3">
        <w:rPr>
          <w:rFonts w:cs="Calibri"/>
          <w:lang w:val="en-GB"/>
        </w:rPr>
        <w:t xml:space="preserve"> prepare annual audit plan</w:t>
      </w:r>
      <w:r w:rsidR="008234B0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 xml:space="preserve"> to be adopted by the Assembly of </w:t>
      </w:r>
      <w:r w:rsidR="008234B0" w:rsidRPr="003A78F3">
        <w:rPr>
          <w:rFonts w:cs="Calibri"/>
          <w:lang w:val="en-GB"/>
        </w:rPr>
        <w:t xml:space="preserve">the </w:t>
      </w:r>
      <w:r w:rsidR="00B94524" w:rsidRPr="003A78F3">
        <w:rPr>
          <w:rFonts w:cs="Calibri"/>
          <w:lang w:val="en-GB"/>
        </w:rPr>
        <w:t>Brčko</w:t>
      </w:r>
      <w:r w:rsidRPr="003A78F3">
        <w:rPr>
          <w:rFonts w:cs="Calibri"/>
          <w:lang w:val="en-GB"/>
        </w:rPr>
        <w:t xml:space="preserve"> District of BiH. </w:t>
      </w:r>
      <w:r w:rsidR="008234B0" w:rsidRPr="003A78F3">
        <w:rPr>
          <w:rFonts w:cs="Calibri"/>
          <w:lang w:val="en-GB"/>
        </w:rPr>
        <w:t xml:space="preserve">The Office is </w:t>
      </w:r>
      <w:r w:rsidR="001F1472" w:rsidRPr="003A78F3">
        <w:rPr>
          <w:rFonts w:cs="Calibri"/>
          <w:lang w:val="en-GB"/>
        </w:rPr>
        <w:t>supposed</w:t>
      </w:r>
      <w:r w:rsidR="008234B0" w:rsidRPr="003A78F3">
        <w:rPr>
          <w:rFonts w:cs="Calibri"/>
          <w:lang w:val="en-GB"/>
        </w:rPr>
        <w:t xml:space="preserve"> to </w:t>
      </w:r>
      <w:r w:rsidR="001F1472" w:rsidRPr="003A78F3">
        <w:rPr>
          <w:rFonts w:cs="Calibri"/>
          <w:lang w:val="en-GB"/>
        </w:rPr>
        <w:t>produce</w:t>
      </w:r>
      <w:r w:rsidR="008234B0" w:rsidRPr="003A78F3">
        <w:rPr>
          <w:rFonts w:cs="Calibri"/>
          <w:lang w:val="en-GB"/>
        </w:rPr>
        <w:t xml:space="preserve"> reports on </w:t>
      </w:r>
      <w:r w:rsidR="001F1472" w:rsidRPr="003A78F3">
        <w:rPr>
          <w:rFonts w:cs="Calibri"/>
          <w:lang w:val="en-GB"/>
        </w:rPr>
        <w:t>implemented audits on a</w:t>
      </w:r>
      <w:r w:rsidR="008234B0" w:rsidRPr="003A78F3">
        <w:rPr>
          <w:rFonts w:cs="Calibri"/>
          <w:lang w:val="en-GB"/>
        </w:rPr>
        <w:t xml:space="preserve"> year</w:t>
      </w:r>
      <w:r w:rsidR="001F1472" w:rsidRPr="003A78F3">
        <w:rPr>
          <w:rFonts w:cs="Calibri"/>
          <w:lang w:val="en-GB"/>
        </w:rPr>
        <w:t>-round basis</w:t>
      </w:r>
      <w:r w:rsidRPr="003A78F3">
        <w:rPr>
          <w:rFonts w:cs="Calibri"/>
          <w:lang w:val="en-GB"/>
        </w:rPr>
        <w:t>, but no</w:t>
      </w:r>
      <w:r w:rsidR="001F1472" w:rsidRPr="003A78F3">
        <w:rPr>
          <w:rFonts w:cs="Calibri"/>
          <w:lang w:val="en-GB"/>
        </w:rPr>
        <w:t xml:space="preserve"> such reports</w:t>
      </w:r>
      <w:r w:rsidRPr="003A78F3">
        <w:rPr>
          <w:rFonts w:cs="Calibri"/>
          <w:lang w:val="en-GB"/>
        </w:rPr>
        <w:t xml:space="preserve"> </w:t>
      </w:r>
      <w:r w:rsidR="001F1472" w:rsidRPr="003A78F3">
        <w:rPr>
          <w:rFonts w:cs="Calibri"/>
          <w:lang w:val="en-GB"/>
        </w:rPr>
        <w:t>are</w:t>
      </w:r>
      <w:r w:rsidRPr="003A78F3">
        <w:rPr>
          <w:rFonts w:cs="Calibri"/>
          <w:lang w:val="en-GB"/>
        </w:rPr>
        <w:t xml:space="preserve"> available on the website of BD, which </w:t>
      </w:r>
      <w:r w:rsidR="001F1472" w:rsidRPr="003A78F3">
        <w:rPr>
          <w:rFonts w:cs="Calibri"/>
          <w:lang w:val="en-GB"/>
        </w:rPr>
        <w:t>suggests</w:t>
      </w:r>
      <w:r w:rsidRPr="003A78F3">
        <w:rPr>
          <w:rFonts w:cs="Calibri"/>
          <w:lang w:val="en-GB"/>
        </w:rPr>
        <w:t xml:space="preserve"> that these </w:t>
      </w:r>
      <w:r w:rsidR="001F1472" w:rsidRPr="003A78F3">
        <w:rPr>
          <w:rFonts w:cs="Calibri"/>
          <w:lang w:val="en-GB"/>
        </w:rPr>
        <w:t>reports</w:t>
      </w:r>
      <w:r w:rsidRPr="003A78F3">
        <w:rPr>
          <w:rFonts w:cs="Calibri"/>
          <w:lang w:val="en-GB"/>
        </w:rPr>
        <w:t xml:space="preserve"> are not prepared</w:t>
      </w:r>
      <w:r w:rsidR="001F1472" w:rsidRPr="003A78F3">
        <w:rPr>
          <w:rFonts w:cs="Calibri"/>
          <w:lang w:val="en-GB"/>
        </w:rPr>
        <w:t xml:space="preserve"> at all</w:t>
      </w:r>
      <w:r w:rsidR="008D26E3">
        <w:rPr>
          <w:rFonts w:cs="Calibri"/>
          <w:lang w:val="en-GB"/>
        </w:rPr>
        <w:t>, making</w:t>
      </w:r>
      <w:r w:rsidRPr="003A78F3">
        <w:rPr>
          <w:rFonts w:cs="Calibri"/>
          <w:lang w:val="en-GB"/>
        </w:rPr>
        <w:t xml:space="preserve"> the work of this </w:t>
      </w:r>
      <w:r w:rsidR="001F1472" w:rsidRPr="003A78F3">
        <w:rPr>
          <w:rFonts w:cs="Calibri"/>
          <w:lang w:val="en-GB"/>
        </w:rPr>
        <w:t>O</w:t>
      </w:r>
      <w:r w:rsidRPr="003A78F3">
        <w:rPr>
          <w:rFonts w:cs="Calibri"/>
          <w:lang w:val="en-GB"/>
        </w:rPr>
        <w:t xml:space="preserve">ffice </w:t>
      </w:r>
      <w:r w:rsidR="001F1472" w:rsidRPr="003A78F3">
        <w:rPr>
          <w:rFonts w:cs="Calibri"/>
          <w:lang w:val="en-GB"/>
        </w:rPr>
        <w:t>opaque</w:t>
      </w:r>
      <w:r w:rsidRPr="003A78F3">
        <w:rPr>
          <w:rFonts w:cs="Calibri"/>
          <w:lang w:val="en-GB"/>
        </w:rPr>
        <w:t>.</w:t>
      </w:r>
    </w:p>
    <w:p w:rsidR="00A97C31" w:rsidRPr="003A78F3" w:rsidRDefault="00A97C31" w:rsidP="00403657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</w:p>
    <w:p w:rsidR="00A97C31" w:rsidRPr="003A78F3" w:rsidRDefault="00622566" w:rsidP="00403657">
      <w:pPr>
        <w:pStyle w:val="Heading2"/>
        <w:rPr>
          <w:rFonts w:ascii="Calibri" w:hAnsi="Calibri" w:cs="Calibri"/>
          <w:lang w:val="en-GB"/>
        </w:rPr>
      </w:pPr>
      <w:bookmarkStart w:id="21" w:name="_Toc473971993"/>
      <w:r w:rsidRPr="003A78F3">
        <w:rPr>
          <w:rFonts w:ascii="Calibri" w:hAnsi="Calibri" w:cs="Calibri"/>
          <w:lang w:val="en-GB"/>
        </w:rPr>
        <w:t xml:space="preserve">4. Improving </w:t>
      </w:r>
      <w:r w:rsidR="003455AC" w:rsidRPr="003A78F3">
        <w:rPr>
          <w:rFonts w:ascii="Calibri" w:hAnsi="Calibri" w:cs="Calibri"/>
          <w:lang w:val="en-GB"/>
        </w:rPr>
        <w:t>the organisational structure and investing in capacity-building</w:t>
      </w:r>
      <w:bookmarkEnd w:id="21"/>
    </w:p>
    <w:p w:rsidR="00A97C31" w:rsidRPr="003A78F3" w:rsidRDefault="00622566" w:rsidP="00403657">
      <w:pPr>
        <w:spacing w:after="0" w:line="240" w:lineRule="auto"/>
        <w:jc w:val="both"/>
        <w:rPr>
          <w:rFonts w:cs="Calibri"/>
          <w:sz w:val="18"/>
          <w:szCs w:val="18"/>
          <w:lang w:val="en-GB"/>
        </w:rPr>
      </w:pPr>
      <w:r w:rsidRPr="003A78F3">
        <w:rPr>
          <w:rFonts w:cs="Calibri"/>
          <w:lang w:val="en-GB"/>
        </w:rPr>
        <w:t xml:space="preserve"> 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Ministr</w:t>
      </w:r>
      <w:r w:rsidR="003455AC" w:rsidRPr="003A78F3">
        <w:rPr>
          <w:rFonts w:cs="Calibri"/>
          <w:lang w:val="en-GB"/>
        </w:rPr>
        <w:t>ies</w:t>
      </w:r>
      <w:r w:rsidRPr="003A78F3">
        <w:rPr>
          <w:rFonts w:cs="Calibri"/>
          <w:lang w:val="en-GB"/>
        </w:rPr>
        <w:t xml:space="preserve"> of </w:t>
      </w:r>
      <w:r w:rsidR="003455AC" w:rsidRPr="003A78F3">
        <w:rPr>
          <w:rFonts w:cs="Calibri"/>
          <w:lang w:val="en-GB"/>
        </w:rPr>
        <w:t>finance adopt</w:t>
      </w:r>
      <w:r w:rsidRPr="003A78F3">
        <w:rPr>
          <w:rFonts w:cs="Calibri"/>
          <w:lang w:val="en-GB"/>
        </w:rPr>
        <w:t xml:space="preserve"> </w:t>
      </w:r>
      <w:r w:rsidR="003455AC" w:rsidRPr="003A78F3">
        <w:rPr>
          <w:rFonts w:cs="Calibri"/>
          <w:lang w:val="en-GB"/>
        </w:rPr>
        <w:t>their respective staffing/recruitment plans as well as</w:t>
      </w:r>
      <w:r w:rsidRPr="003A78F3">
        <w:rPr>
          <w:rFonts w:cs="Calibri"/>
          <w:lang w:val="en-GB"/>
        </w:rPr>
        <w:t xml:space="preserve"> training </w:t>
      </w:r>
      <w:r w:rsidR="003455AC" w:rsidRPr="003A78F3">
        <w:rPr>
          <w:rFonts w:cs="Calibri"/>
          <w:lang w:val="en-GB"/>
        </w:rPr>
        <w:t xml:space="preserve">plans </w:t>
      </w:r>
      <w:r w:rsidRPr="003A78F3">
        <w:rPr>
          <w:rFonts w:cs="Calibri"/>
          <w:lang w:val="en-GB"/>
        </w:rPr>
        <w:t>in accordance with the</w:t>
      </w:r>
      <w:r w:rsidR="008D26E3">
        <w:rPr>
          <w:rFonts w:cs="Calibri"/>
          <w:lang w:val="en-GB"/>
        </w:rPr>
        <w:t>ir</w:t>
      </w:r>
      <w:r w:rsidRPr="003A78F3">
        <w:rPr>
          <w:rFonts w:cs="Calibri"/>
          <w:lang w:val="en-GB"/>
        </w:rPr>
        <w:t xml:space="preserve"> priorities and available financial resources.</w:t>
      </w:r>
    </w:p>
    <w:p w:rsidR="00A97C31" w:rsidRPr="003A78F3" w:rsidRDefault="00867172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Budget Department </w:t>
      </w:r>
      <w:r w:rsidRPr="003A78F3">
        <w:rPr>
          <w:rFonts w:cs="Calibri"/>
          <w:lang w:val="en-GB"/>
        </w:rPr>
        <w:t xml:space="preserve">of </w:t>
      </w:r>
      <w:r w:rsidR="00622566" w:rsidRPr="003A78F3">
        <w:rPr>
          <w:rFonts w:cs="Calibri"/>
          <w:lang w:val="en-GB"/>
        </w:rPr>
        <w:t>MFT BiH planned</w:t>
      </w:r>
      <w:r w:rsidRPr="003A78F3">
        <w:rPr>
          <w:rFonts w:cs="Calibri"/>
          <w:lang w:val="en-GB"/>
        </w:rPr>
        <w:t xml:space="preserve"> systematically</w:t>
      </w:r>
      <w:r w:rsidR="00622566" w:rsidRPr="003A78F3">
        <w:rPr>
          <w:rFonts w:cs="Calibri"/>
          <w:lang w:val="en-GB"/>
        </w:rPr>
        <w:t xml:space="preserve"> and </w:t>
      </w:r>
      <w:r w:rsidRPr="003A78F3">
        <w:rPr>
          <w:rFonts w:cs="Calibri"/>
          <w:lang w:val="en-GB"/>
        </w:rPr>
        <w:t xml:space="preserve">its </w:t>
      </w:r>
      <w:r w:rsidR="00622566" w:rsidRPr="003A78F3">
        <w:rPr>
          <w:rFonts w:cs="Calibri"/>
          <w:lang w:val="en-GB"/>
        </w:rPr>
        <w:t>current</w:t>
      </w:r>
      <w:r w:rsidRPr="003A78F3">
        <w:rPr>
          <w:rFonts w:cs="Calibri"/>
          <w:lang w:val="en-GB"/>
        </w:rPr>
        <w:t xml:space="preserve"> staffing levels are</w:t>
      </w:r>
      <w:r w:rsidR="00622566" w:rsidRPr="003A78F3">
        <w:rPr>
          <w:rFonts w:cs="Calibri"/>
          <w:lang w:val="en-GB"/>
        </w:rPr>
        <w:t xml:space="preserve"> </w:t>
      </w:r>
      <w:r w:rsidRPr="003A78F3">
        <w:rPr>
          <w:rFonts w:cs="Calibri"/>
          <w:lang w:val="en-GB"/>
        </w:rPr>
        <w:t xml:space="preserve">therefore </w:t>
      </w:r>
      <w:r w:rsidR="00622566" w:rsidRPr="003A78F3">
        <w:rPr>
          <w:rFonts w:cs="Calibri"/>
          <w:lang w:val="en-GB"/>
        </w:rPr>
        <w:t>satisfactory</w:t>
      </w:r>
      <w:r w:rsidRPr="003A78F3">
        <w:rPr>
          <w:rFonts w:cs="Calibri"/>
          <w:lang w:val="en-GB"/>
        </w:rPr>
        <w:t xml:space="preserve">. Also, </w:t>
      </w:r>
      <w:r w:rsidR="008D26E3">
        <w:rPr>
          <w:rFonts w:cs="Calibri"/>
          <w:lang w:val="en-GB"/>
        </w:rPr>
        <w:t>its</w:t>
      </w:r>
      <w:r w:rsidRPr="003A78F3">
        <w:rPr>
          <w:rFonts w:cs="Calibri"/>
          <w:lang w:val="en-GB"/>
        </w:rPr>
        <w:t xml:space="preserve"> staff</w:t>
      </w:r>
      <w:r w:rsidR="00622566" w:rsidRPr="003A78F3">
        <w:rPr>
          <w:rFonts w:cs="Calibri"/>
          <w:lang w:val="en-GB"/>
        </w:rPr>
        <w:t xml:space="preserve"> </w:t>
      </w:r>
      <w:r w:rsidR="008901B4" w:rsidRPr="003A78F3">
        <w:rPr>
          <w:rFonts w:cs="Calibri"/>
          <w:lang w:val="en-GB"/>
        </w:rPr>
        <w:t xml:space="preserve">has </w:t>
      </w:r>
      <w:r w:rsidRPr="003A78F3">
        <w:rPr>
          <w:rFonts w:cs="Calibri"/>
          <w:lang w:val="en-GB"/>
        </w:rPr>
        <w:t>received</w:t>
      </w:r>
      <w:r w:rsidR="00622566" w:rsidRPr="003A78F3">
        <w:rPr>
          <w:rFonts w:cs="Calibri"/>
          <w:lang w:val="en-GB"/>
        </w:rPr>
        <w:t xml:space="preserve"> </w:t>
      </w:r>
      <w:r w:rsidR="008901B4" w:rsidRPr="003A78F3">
        <w:rPr>
          <w:rFonts w:cs="Calibri"/>
          <w:lang w:val="en-GB"/>
        </w:rPr>
        <w:t>several</w:t>
      </w:r>
      <w:r w:rsidR="00622566" w:rsidRPr="003A78F3">
        <w:rPr>
          <w:rFonts w:cs="Calibri"/>
          <w:lang w:val="en-GB"/>
        </w:rPr>
        <w:t xml:space="preserve"> training</w:t>
      </w:r>
      <w:r w:rsidRPr="003A78F3">
        <w:rPr>
          <w:rFonts w:cs="Calibri"/>
          <w:lang w:val="en-GB"/>
        </w:rPr>
        <w:t xml:space="preserve"> session</w:t>
      </w:r>
      <w:r w:rsidR="00622566" w:rsidRPr="003A78F3">
        <w:rPr>
          <w:rFonts w:cs="Calibri"/>
          <w:lang w:val="en-GB"/>
        </w:rPr>
        <w:t>s</w:t>
      </w:r>
      <w:r w:rsidR="008D26E3">
        <w:rPr>
          <w:rFonts w:cs="Calibri"/>
          <w:lang w:val="en-GB"/>
        </w:rPr>
        <w:t xml:space="preserve"> to date</w:t>
      </w:r>
      <w:r w:rsidR="00622566" w:rsidRPr="003A78F3">
        <w:rPr>
          <w:rFonts w:cs="Calibri"/>
          <w:lang w:val="en-GB"/>
        </w:rPr>
        <w:t xml:space="preserve">. Since the Budget Department has </w:t>
      </w:r>
      <w:r w:rsidR="008A14CE" w:rsidRPr="003A78F3">
        <w:rPr>
          <w:rFonts w:cs="Calibri"/>
          <w:lang w:val="en-GB"/>
        </w:rPr>
        <w:t>enough</w:t>
      </w:r>
      <w:r w:rsidR="00622566" w:rsidRPr="003A78F3">
        <w:rPr>
          <w:rFonts w:cs="Calibri"/>
          <w:lang w:val="en-GB"/>
        </w:rPr>
        <w:t xml:space="preserve"> personnel to carry out reforms</w:t>
      </w:r>
      <w:r w:rsidR="008901B4" w:rsidRPr="003A78F3">
        <w:rPr>
          <w:rFonts w:cs="Calibri"/>
          <w:lang w:val="en-GB"/>
        </w:rPr>
        <w:t>,</w:t>
      </w:r>
      <w:r w:rsidR="00622566" w:rsidRPr="003A78F3">
        <w:rPr>
          <w:rFonts w:cs="Calibri"/>
          <w:lang w:val="en-GB"/>
        </w:rPr>
        <w:t xml:space="preserve"> </w:t>
      </w:r>
      <w:r w:rsidR="008901B4" w:rsidRPr="003A78F3">
        <w:rPr>
          <w:rFonts w:cs="Calibri"/>
          <w:lang w:val="en-GB"/>
        </w:rPr>
        <w:t xml:space="preserve">investments </w:t>
      </w:r>
      <w:r w:rsidR="00622566" w:rsidRPr="003A78F3">
        <w:rPr>
          <w:rFonts w:cs="Calibri"/>
          <w:lang w:val="en-GB"/>
        </w:rPr>
        <w:t xml:space="preserve">will be </w:t>
      </w:r>
      <w:r w:rsidR="008901B4" w:rsidRPr="003A78F3">
        <w:rPr>
          <w:rFonts w:cs="Calibri"/>
          <w:lang w:val="en-GB"/>
        </w:rPr>
        <w:t xml:space="preserve">made </w:t>
      </w:r>
      <w:r w:rsidR="008A14CE" w:rsidRPr="003A78F3">
        <w:rPr>
          <w:rFonts w:cs="Calibri"/>
          <w:lang w:val="en-GB"/>
        </w:rPr>
        <w:t>in the coming period to</w:t>
      </w:r>
      <w:r w:rsidR="00622566" w:rsidRPr="003A78F3">
        <w:rPr>
          <w:rFonts w:cs="Calibri"/>
          <w:lang w:val="en-GB"/>
        </w:rPr>
        <w:t xml:space="preserve"> </w:t>
      </w:r>
      <w:r w:rsidR="008901B4" w:rsidRPr="003A78F3">
        <w:rPr>
          <w:rFonts w:cs="Calibri"/>
          <w:lang w:val="en-GB"/>
        </w:rPr>
        <w:t>strengthen and develop</w:t>
      </w:r>
      <w:r w:rsidR="00622566" w:rsidRPr="003A78F3">
        <w:rPr>
          <w:rFonts w:cs="Calibri"/>
          <w:lang w:val="en-GB"/>
        </w:rPr>
        <w:t xml:space="preserve"> </w:t>
      </w:r>
      <w:r w:rsidR="008901B4" w:rsidRPr="003A78F3">
        <w:rPr>
          <w:rFonts w:cs="Calibri"/>
          <w:lang w:val="en-GB"/>
        </w:rPr>
        <w:t>their personal skills and knowledge</w:t>
      </w:r>
      <w:r w:rsidR="00622566" w:rsidRPr="003A78F3">
        <w:rPr>
          <w:rFonts w:cs="Calibri"/>
          <w:lang w:val="en-GB"/>
        </w:rPr>
        <w:t>. The Sector agree</w:t>
      </w:r>
      <w:r w:rsidR="008A14CE" w:rsidRPr="003A78F3">
        <w:rPr>
          <w:rFonts w:cs="Calibri"/>
          <w:lang w:val="en-GB"/>
        </w:rPr>
        <w:t>s internally on</w:t>
      </w:r>
      <w:r w:rsidR="00622566" w:rsidRPr="003A78F3">
        <w:rPr>
          <w:rFonts w:cs="Calibri"/>
          <w:lang w:val="en-GB"/>
        </w:rPr>
        <w:t xml:space="preserve"> </w:t>
      </w:r>
      <w:r w:rsidR="008A14CE"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annual </w:t>
      </w:r>
      <w:r w:rsidR="008A14CE" w:rsidRPr="003A78F3">
        <w:rPr>
          <w:rFonts w:cs="Calibri"/>
          <w:lang w:val="en-GB"/>
        </w:rPr>
        <w:t xml:space="preserve">recruitment </w:t>
      </w:r>
      <w:r w:rsidR="00622566" w:rsidRPr="003A78F3">
        <w:rPr>
          <w:rFonts w:cs="Calibri"/>
          <w:lang w:val="en-GB"/>
        </w:rPr>
        <w:t xml:space="preserve">plan and training plan for the current year.  </w:t>
      </w:r>
    </w:p>
    <w:p w:rsidR="00A97C31" w:rsidRPr="003A78F3" w:rsidRDefault="008A14CE" w:rsidP="00403657">
      <w:pPr>
        <w:spacing w:after="0"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lastRenderedPageBreak/>
        <w:t xml:space="preserve">The </w:t>
      </w:r>
      <w:r w:rsidR="00622566" w:rsidRPr="003A78F3">
        <w:rPr>
          <w:rFonts w:cs="Calibri"/>
          <w:lang w:val="en-GB"/>
        </w:rPr>
        <w:t xml:space="preserve">Rules on </w:t>
      </w:r>
      <w:r w:rsidRPr="003A78F3">
        <w:rPr>
          <w:rFonts w:cs="Calibri"/>
          <w:lang w:val="en-GB"/>
        </w:rPr>
        <w:t xml:space="preserve">Internal Organisation </w:t>
      </w:r>
      <w:r w:rsidR="00622566" w:rsidRPr="003A78F3">
        <w:rPr>
          <w:rFonts w:cs="Calibri"/>
          <w:lang w:val="en-GB"/>
        </w:rPr>
        <w:t xml:space="preserve">and </w:t>
      </w:r>
      <w:r w:rsidRPr="003A78F3">
        <w:rPr>
          <w:rFonts w:cs="Calibri"/>
          <w:lang w:val="en-GB"/>
        </w:rPr>
        <w:t>Staffing</w:t>
      </w:r>
      <w:r w:rsidR="00622566" w:rsidRPr="003A78F3">
        <w:rPr>
          <w:rFonts w:cs="Calibri"/>
          <w:lang w:val="en-GB"/>
        </w:rPr>
        <w:t xml:space="preserve"> in the Ministry of Finance </w:t>
      </w:r>
      <w:r w:rsidRPr="003A78F3">
        <w:rPr>
          <w:rFonts w:cs="Calibri"/>
          <w:lang w:val="en-GB"/>
        </w:rPr>
        <w:t xml:space="preserve">of </w:t>
      </w:r>
      <w:r w:rsidR="00622566" w:rsidRPr="003A78F3">
        <w:rPr>
          <w:rFonts w:cs="Calibri"/>
          <w:lang w:val="en-GB"/>
        </w:rPr>
        <w:t xml:space="preserve">RS </w:t>
      </w:r>
      <w:r w:rsidRPr="003A78F3">
        <w:rPr>
          <w:rFonts w:cs="Calibri"/>
          <w:lang w:val="en-GB"/>
        </w:rPr>
        <w:t>provides for</w:t>
      </w:r>
      <w:r w:rsidR="00622566" w:rsidRPr="003A78F3">
        <w:rPr>
          <w:rFonts w:cs="Calibri"/>
          <w:lang w:val="en-GB"/>
        </w:rPr>
        <w:t xml:space="preserve"> a sufficient number of public sector analysts in the </w:t>
      </w:r>
      <w:r w:rsidRPr="003A78F3">
        <w:rPr>
          <w:rFonts w:cs="Calibri"/>
          <w:lang w:val="en-GB"/>
        </w:rPr>
        <w:t xml:space="preserve">Budget and Public Finance </w:t>
      </w:r>
      <w:r w:rsidR="00622566" w:rsidRPr="003A78F3">
        <w:rPr>
          <w:rFonts w:cs="Calibri"/>
          <w:lang w:val="en-GB"/>
        </w:rPr>
        <w:t xml:space="preserve">Department, as well as </w:t>
      </w:r>
      <w:r w:rsidR="00ED26A4" w:rsidRPr="003A78F3">
        <w:rPr>
          <w:rFonts w:cs="Calibri"/>
          <w:lang w:val="en-GB"/>
        </w:rPr>
        <w:t>staff</w:t>
      </w:r>
      <w:r w:rsidR="00622566" w:rsidRPr="003A78F3">
        <w:rPr>
          <w:rFonts w:cs="Calibri"/>
          <w:lang w:val="en-GB"/>
        </w:rPr>
        <w:t xml:space="preserve"> in other departments of the ministry. </w:t>
      </w:r>
      <w:r w:rsidR="00ED26A4"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 xml:space="preserve">Rules on </w:t>
      </w:r>
      <w:r w:rsidR="00ED26A4" w:rsidRPr="003A78F3">
        <w:rPr>
          <w:rFonts w:cs="Calibri"/>
          <w:lang w:val="en-GB"/>
        </w:rPr>
        <w:t>Staffing</w:t>
      </w:r>
      <w:r w:rsidR="00622566" w:rsidRPr="003A78F3">
        <w:rPr>
          <w:rFonts w:cs="Calibri"/>
          <w:lang w:val="en-GB"/>
        </w:rPr>
        <w:t xml:space="preserve"> in the Ministry of Finance </w:t>
      </w:r>
      <w:r w:rsidR="00ED26A4" w:rsidRPr="003A78F3">
        <w:rPr>
          <w:rFonts w:cs="Calibri"/>
          <w:lang w:val="en-GB"/>
        </w:rPr>
        <w:t>of FBiH provides for</w:t>
      </w:r>
      <w:r w:rsidR="00622566" w:rsidRPr="003A78F3">
        <w:rPr>
          <w:rFonts w:cs="Calibri"/>
          <w:lang w:val="en-GB"/>
        </w:rPr>
        <w:t xml:space="preserve"> </w:t>
      </w:r>
      <w:r w:rsidR="00624EBB" w:rsidRPr="003A78F3">
        <w:rPr>
          <w:rFonts w:cs="Calibri"/>
          <w:lang w:val="en-GB"/>
        </w:rPr>
        <w:t xml:space="preserve">a staff complement of </w:t>
      </w:r>
      <w:r w:rsidR="00622566" w:rsidRPr="003A78F3">
        <w:rPr>
          <w:rFonts w:cs="Calibri"/>
          <w:lang w:val="en-GB"/>
        </w:rPr>
        <w:t xml:space="preserve">24. </w:t>
      </w:r>
      <w:r w:rsidR="00624EBB" w:rsidRPr="003A78F3">
        <w:rPr>
          <w:rFonts w:cs="Calibri"/>
          <w:lang w:val="en-GB"/>
        </w:rPr>
        <w:t>However, o</w:t>
      </w:r>
      <w:r w:rsidR="00ED26A4" w:rsidRPr="003A78F3">
        <w:rPr>
          <w:rFonts w:cs="Calibri"/>
          <w:lang w:val="en-GB"/>
        </w:rPr>
        <w:t>nly</w:t>
      </w:r>
      <w:r w:rsidR="00622566" w:rsidRPr="003A78F3">
        <w:rPr>
          <w:rFonts w:cs="Calibri"/>
          <w:lang w:val="en-GB"/>
        </w:rPr>
        <w:t xml:space="preserve"> 13 </w:t>
      </w:r>
      <w:r w:rsidR="00ED26A4" w:rsidRPr="003A78F3">
        <w:rPr>
          <w:rFonts w:cs="Calibri"/>
          <w:lang w:val="en-GB"/>
        </w:rPr>
        <w:t>positions have been filled to date</w:t>
      </w:r>
      <w:r w:rsidR="00622566" w:rsidRPr="003A78F3">
        <w:rPr>
          <w:rFonts w:cs="Calibri"/>
          <w:lang w:val="en-GB"/>
        </w:rPr>
        <w:t xml:space="preserve">. Staffing </w:t>
      </w:r>
      <w:r w:rsidR="00ED26A4" w:rsidRPr="003A78F3">
        <w:rPr>
          <w:rFonts w:cs="Calibri"/>
          <w:lang w:val="en-GB"/>
        </w:rPr>
        <w:t xml:space="preserve">levels improved significantly </w:t>
      </w:r>
      <w:r w:rsidR="00624EBB" w:rsidRPr="003A78F3">
        <w:rPr>
          <w:rFonts w:cs="Calibri"/>
          <w:lang w:val="en-GB"/>
        </w:rPr>
        <w:t>in 2013 following</w:t>
      </w:r>
      <w:r w:rsidR="00ED26A4" w:rsidRPr="003A78F3">
        <w:rPr>
          <w:rFonts w:cs="Calibri"/>
          <w:lang w:val="en-GB"/>
        </w:rPr>
        <w:t xml:space="preserve"> recruitment of</w:t>
      </w:r>
      <w:r w:rsidR="00622566" w:rsidRPr="003A78F3">
        <w:rPr>
          <w:rFonts w:cs="Calibri"/>
          <w:lang w:val="en-GB"/>
        </w:rPr>
        <w:t xml:space="preserve"> three</w:t>
      </w:r>
      <w:r w:rsidR="00ED26A4" w:rsidRPr="003A78F3">
        <w:rPr>
          <w:rFonts w:cs="Calibri"/>
          <w:lang w:val="en-GB"/>
        </w:rPr>
        <w:t xml:space="preserve"> new</w:t>
      </w:r>
      <w:r w:rsidR="00622566" w:rsidRPr="003A78F3">
        <w:rPr>
          <w:rFonts w:cs="Calibri"/>
          <w:lang w:val="en-GB"/>
        </w:rPr>
        <w:t xml:space="preserve"> employees. </w:t>
      </w:r>
      <w:r w:rsidR="00ED26A4" w:rsidRPr="003A78F3">
        <w:rPr>
          <w:rFonts w:cs="Calibri"/>
          <w:lang w:val="en-GB"/>
        </w:rPr>
        <w:t xml:space="preserve">The </w:t>
      </w:r>
      <w:r w:rsidR="00622566" w:rsidRPr="003A78F3">
        <w:rPr>
          <w:rFonts w:cs="Calibri"/>
          <w:lang w:val="en-GB"/>
        </w:rPr>
        <w:t>Finance Directorate</w:t>
      </w:r>
      <w:r w:rsidR="00ED26A4" w:rsidRPr="003A78F3">
        <w:rPr>
          <w:rFonts w:cs="Calibri"/>
          <w:lang w:val="en-GB"/>
        </w:rPr>
        <w:t xml:space="preserve"> of</w:t>
      </w:r>
      <w:r w:rsidR="00622566" w:rsidRPr="003A78F3">
        <w:rPr>
          <w:rFonts w:cs="Calibri"/>
          <w:lang w:val="en-GB"/>
        </w:rPr>
        <w:t xml:space="preserve"> BD does not have </w:t>
      </w:r>
      <w:r w:rsidR="00624EBB" w:rsidRPr="003A78F3">
        <w:rPr>
          <w:rFonts w:cs="Calibri"/>
          <w:lang w:val="en-GB"/>
        </w:rPr>
        <w:t>enough</w:t>
      </w:r>
      <w:r w:rsidR="00622566" w:rsidRPr="003A78F3">
        <w:rPr>
          <w:rFonts w:cs="Calibri"/>
          <w:lang w:val="en-GB"/>
        </w:rPr>
        <w:t xml:space="preserve"> IT experts.  </w:t>
      </w:r>
    </w:p>
    <w:p w:rsidR="00A97C31" w:rsidRPr="003A78F3" w:rsidRDefault="00A97C31" w:rsidP="00403657">
      <w:pPr>
        <w:pStyle w:val="Heading2"/>
        <w:spacing w:before="0" w:after="0"/>
        <w:rPr>
          <w:rFonts w:ascii="Calibri" w:hAnsi="Calibri" w:cs="Calibri"/>
          <w:lang w:val="en-GB"/>
        </w:rPr>
      </w:pPr>
      <w:bookmarkStart w:id="22" w:name="_Toc445049562"/>
    </w:p>
    <w:p w:rsidR="00A97C31" w:rsidRPr="003A78F3" w:rsidRDefault="00622566" w:rsidP="00403657">
      <w:pPr>
        <w:pStyle w:val="Heading2"/>
        <w:spacing w:before="0"/>
        <w:rPr>
          <w:rFonts w:ascii="Calibri" w:hAnsi="Calibri" w:cs="Calibri"/>
          <w:lang w:val="en-GB"/>
        </w:rPr>
      </w:pPr>
      <w:bookmarkStart w:id="23" w:name="_Toc473971994"/>
      <w:r w:rsidRPr="003A78F3">
        <w:rPr>
          <w:rFonts w:ascii="Calibri" w:hAnsi="Calibri" w:cs="Calibri"/>
          <w:lang w:val="en-GB"/>
        </w:rPr>
        <w:t xml:space="preserve">5. </w:t>
      </w:r>
      <w:bookmarkEnd w:id="22"/>
      <w:r w:rsidR="00624EBB" w:rsidRPr="003A78F3">
        <w:rPr>
          <w:rFonts w:ascii="Calibri" w:hAnsi="Calibri" w:cs="Calibri"/>
          <w:lang w:val="en-GB"/>
        </w:rPr>
        <w:t>Improvement of public debt management efficiency</w:t>
      </w:r>
      <w:bookmarkEnd w:id="23"/>
    </w:p>
    <w:p w:rsidR="00A97C31" w:rsidRPr="003A78F3" w:rsidRDefault="00A97C31" w:rsidP="00403657">
      <w:pPr>
        <w:spacing w:after="0" w:line="240" w:lineRule="auto"/>
        <w:jc w:val="both"/>
        <w:rPr>
          <w:rFonts w:cs="Calibri"/>
          <w:lang w:val="en-GB"/>
        </w:rPr>
      </w:pPr>
    </w:p>
    <w:p w:rsidR="00A97C31" w:rsidRPr="003A78F3" w:rsidRDefault="0052700A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During the 1980s and 1990s most OECD economies experienced a</w:t>
      </w:r>
      <w:r w:rsidR="00622566" w:rsidRPr="003A78F3">
        <w:rPr>
          <w:rFonts w:cs="Calibri"/>
          <w:lang w:val="en-GB"/>
        </w:rPr>
        <w:t xml:space="preserve"> rapid growth </w:t>
      </w:r>
      <w:r w:rsidR="003A21E9" w:rsidRPr="003A78F3">
        <w:rPr>
          <w:rFonts w:cs="Calibri"/>
          <w:lang w:val="en-GB"/>
        </w:rPr>
        <w:t>in</w:t>
      </w:r>
      <w:r w:rsidR="00622566" w:rsidRPr="003A78F3">
        <w:rPr>
          <w:rFonts w:cs="Calibri"/>
          <w:lang w:val="en-GB"/>
        </w:rPr>
        <w:t xml:space="preserve"> public debt. In</w:t>
      </w:r>
      <w:r w:rsidR="003A21E9" w:rsidRPr="003A78F3">
        <w:rPr>
          <w:rFonts w:cs="Calibri"/>
          <w:lang w:val="en-GB"/>
        </w:rPr>
        <w:t xml:space="preserve">troducing </w:t>
      </w:r>
      <w:r w:rsidR="00622566" w:rsidRPr="003A78F3">
        <w:rPr>
          <w:rFonts w:cs="Calibri"/>
          <w:lang w:val="en-GB"/>
        </w:rPr>
        <w:t xml:space="preserve">fiscal discipline for </w:t>
      </w:r>
      <w:r w:rsidR="003A21E9" w:rsidRPr="003A78F3">
        <w:rPr>
          <w:rFonts w:cs="Calibri"/>
          <w:lang w:val="en-GB"/>
        </w:rPr>
        <w:t>policymakers</w:t>
      </w:r>
      <w:r w:rsidR="00622566" w:rsidRPr="003A78F3">
        <w:rPr>
          <w:rFonts w:cs="Calibri"/>
          <w:lang w:val="en-GB"/>
        </w:rPr>
        <w:t xml:space="preserve"> of these countries</w:t>
      </w:r>
      <w:r w:rsidR="003A21E9" w:rsidRPr="003A78F3">
        <w:rPr>
          <w:rFonts w:cs="Calibri"/>
          <w:lang w:val="en-GB"/>
        </w:rPr>
        <w:t xml:space="preserve"> required th</w:t>
      </w:r>
      <w:r w:rsidR="00A506C0" w:rsidRPr="003A78F3">
        <w:rPr>
          <w:rFonts w:cs="Calibri"/>
          <w:lang w:val="en-GB"/>
        </w:rPr>
        <w:t xml:space="preserve">e establishment of </w:t>
      </w:r>
      <w:r w:rsidR="00622566" w:rsidRPr="003A78F3">
        <w:rPr>
          <w:rFonts w:cs="Calibri"/>
          <w:lang w:val="en-GB"/>
        </w:rPr>
        <w:t>new fiscal rules and discipline. To th</w:t>
      </w:r>
      <w:r w:rsidR="00A506C0" w:rsidRPr="003A78F3">
        <w:rPr>
          <w:rFonts w:cs="Calibri"/>
          <w:lang w:val="en-GB"/>
        </w:rPr>
        <w:t>at</w:t>
      </w:r>
      <w:r w:rsidR="00622566" w:rsidRPr="003A78F3">
        <w:rPr>
          <w:rFonts w:cs="Calibri"/>
          <w:lang w:val="en-GB"/>
        </w:rPr>
        <w:t xml:space="preserve"> end </w:t>
      </w:r>
      <w:r w:rsidR="00A506C0" w:rsidRPr="003A78F3">
        <w:rPr>
          <w:rFonts w:cs="Calibri"/>
          <w:lang w:val="en-GB"/>
        </w:rPr>
        <w:t xml:space="preserve">ceilings were imposed at </w:t>
      </w:r>
      <w:r w:rsidR="00622566" w:rsidRPr="003A78F3">
        <w:rPr>
          <w:rFonts w:cs="Calibri"/>
          <w:lang w:val="en-GB"/>
        </w:rPr>
        <w:t xml:space="preserve">the EU level on deficit and debt as well as medium-term budget targets.  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BiH</w:t>
      </w:r>
      <w:r w:rsidR="0060062D" w:rsidRPr="003A78F3">
        <w:rPr>
          <w:rFonts w:cs="Calibri"/>
          <w:lang w:val="en-GB"/>
        </w:rPr>
        <w:t xml:space="preserve"> has a</w:t>
      </w:r>
      <w:r w:rsidRPr="003A78F3">
        <w:rPr>
          <w:rFonts w:cs="Calibri"/>
          <w:lang w:val="en-GB"/>
        </w:rPr>
        <w:t xml:space="preserve"> highly decentrali</w:t>
      </w:r>
      <w:r w:rsidR="0060062D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>ed fiscal system and it was necessary to introduce fiscal discipline as the basic precondition for planning and monitoring fiscal policy and establish</w:t>
      </w:r>
      <w:r w:rsidR="00C44A4C" w:rsidRPr="003A78F3">
        <w:rPr>
          <w:rFonts w:cs="Calibri"/>
          <w:lang w:val="en-GB"/>
        </w:rPr>
        <w:t>ing</w:t>
      </w:r>
      <w:r w:rsidRPr="003A78F3">
        <w:rPr>
          <w:rFonts w:cs="Calibri"/>
          <w:lang w:val="en-GB"/>
        </w:rPr>
        <w:t xml:space="preserve"> a harmoni</w:t>
      </w:r>
      <w:r w:rsidR="00C44A4C" w:rsidRPr="003A78F3">
        <w:rPr>
          <w:rFonts w:cs="Calibri"/>
          <w:lang w:val="en-GB"/>
        </w:rPr>
        <w:t>s</w:t>
      </w:r>
      <w:r w:rsidRPr="003A78F3">
        <w:rPr>
          <w:rFonts w:cs="Calibri"/>
          <w:lang w:val="en-GB"/>
        </w:rPr>
        <w:t>ed methodology for fiscal discipline</w:t>
      </w:r>
      <w:r w:rsidR="00C44A4C" w:rsidRPr="003A78F3">
        <w:rPr>
          <w:rFonts w:cs="Calibri"/>
          <w:lang w:val="en-GB"/>
        </w:rPr>
        <w:t xml:space="preserve"> monitoring</w:t>
      </w:r>
      <w:r w:rsidRPr="003A78F3">
        <w:rPr>
          <w:rFonts w:cs="Calibri"/>
          <w:lang w:val="en-GB"/>
        </w:rPr>
        <w:t>. The establishment of the Fiscal Council</w:t>
      </w:r>
      <w:r w:rsidR="00C44A4C" w:rsidRPr="003A78F3">
        <w:rPr>
          <w:rFonts w:cs="Calibri"/>
          <w:lang w:val="en-GB"/>
        </w:rPr>
        <w:t xml:space="preserve"> of BiH</w:t>
      </w:r>
      <w:r w:rsidRPr="003A78F3">
        <w:rPr>
          <w:rFonts w:cs="Calibri"/>
          <w:lang w:val="en-GB"/>
        </w:rPr>
        <w:t xml:space="preserve"> </w:t>
      </w:r>
      <w:r w:rsidR="00C44A4C" w:rsidRPr="003A78F3">
        <w:rPr>
          <w:rFonts w:cs="Calibri"/>
          <w:lang w:val="en-GB"/>
        </w:rPr>
        <w:t>was the</w:t>
      </w:r>
      <w:r w:rsidRPr="003A78F3">
        <w:rPr>
          <w:rFonts w:cs="Calibri"/>
          <w:lang w:val="en-GB"/>
        </w:rPr>
        <w:t xml:space="preserve"> first attempt to harmoni</w:t>
      </w:r>
      <w:r w:rsidR="00C44A4C" w:rsidRPr="003A78F3">
        <w:rPr>
          <w:rFonts w:cs="Calibri"/>
          <w:lang w:val="en-GB"/>
        </w:rPr>
        <w:t>se</w:t>
      </w:r>
      <w:r w:rsidRPr="003A78F3">
        <w:rPr>
          <w:rFonts w:cs="Calibri"/>
          <w:lang w:val="en-GB"/>
        </w:rPr>
        <w:t xml:space="preserve"> methodologies and </w:t>
      </w:r>
      <w:r w:rsidR="00C44A4C" w:rsidRPr="003A78F3">
        <w:rPr>
          <w:rFonts w:cs="Calibri"/>
          <w:lang w:val="en-GB"/>
        </w:rPr>
        <w:t xml:space="preserve">ensure </w:t>
      </w:r>
      <w:r w:rsidRPr="003A78F3">
        <w:rPr>
          <w:rFonts w:cs="Calibri"/>
          <w:lang w:val="en-GB"/>
        </w:rPr>
        <w:t>macroeconomic stability and fiscal sustainability of BiH, FBiH, RS and BD.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>According to the C</w:t>
      </w:r>
      <w:r w:rsidR="00E22771" w:rsidRPr="003A78F3">
        <w:rPr>
          <w:rFonts w:cs="Calibri"/>
          <w:lang w:val="en-GB"/>
        </w:rPr>
        <w:t xml:space="preserve">entral </w:t>
      </w:r>
      <w:r w:rsidRPr="003A78F3">
        <w:rPr>
          <w:rFonts w:cs="Calibri"/>
          <w:lang w:val="en-GB"/>
        </w:rPr>
        <w:t>B</w:t>
      </w:r>
      <w:r w:rsidR="00E22771" w:rsidRPr="003A78F3">
        <w:rPr>
          <w:rFonts w:cs="Calibri"/>
          <w:lang w:val="en-GB"/>
        </w:rPr>
        <w:t xml:space="preserve">ank of </w:t>
      </w:r>
      <w:r w:rsidRPr="003A78F3">
        <w:rPr>
          <w:rFonts w:cs="Calibri"/>
          <w:lang w:val="en-GB"/>
        </w:rPr>
        <w:t>B</w:t>
      </w:r>
      <w:r w:rsidR="00E22771" w:rsidRPr="003A78F3">
        <w:rPr>
          <w:rFonts w:cs="Calibri"/>
          <w:lang w:val="en-GB"/>
        </w:rPr>
        <w:t>i</w:t>
      </w:r>
      <w:r w:rsidRPr="003A78F3">
        <w:rPr>
          <w:rFonts w:cs="Calibri"/>
          <w:lang w:val="en-GB"/>
        </w:rPr>
        <w:t>H</w:t>
      </w:r>
      <w:r w:rsidR="00E22771" w:rsidRPr="003A78F3">
        <w:rPr>
          <w:rFonts w:cs="Calibri"/>
          <w:lang w:val="en-GB"/>
        </w:rPr>
        <w:t xml:space="preserve"> (CBBH)</w:t>
      </w:r>
      <w:r w:rsidR="00C44A4C" w:rsidRPr="003A78F3">
        <w:rPr>
          <w:rFonts w:cs="Calibri"/>
          <w:lang w:val="en-GB"/>
        </w:rPr>
        <w:t xml:space="preserve">, the </w:t>
      </w:r>
      <w:r w:rsidRPr="003A78F3">
        <w:rPr>
          <w:rFonts w:cs="Calibri"/>
          <w:lang w:val="en-GB"/>
        </w:rPr>
        <w:t>share of the external debt of the government sector in GDP in 2005</w:t>
      </w:r>
      <w:r w:rsidR="00FA279D" w:rsidRPr="003A78F3">
        <w:rPr>
          <w:rFonts w:cs="Calibri"/>
          <w:lang w:val="en-GB"/>
        </w:rPr>
        <w:t>-</w:t>
      </w:r>
      <w:r w:rsidRPr="003A78F3">
        <w:rPr>
          <w:rFonts w:cs="Calibri"/>
          <w:lang w:val="en-GB"/>
        </w:rPr>
        <w:t xml:space="preserve">2014 varied </w:t>
      </w:r>
      <w:r w:rsidR="00C44A4C" w:rsidRPr="003A78F3">
        <w:rPr>
          <w:rFonts w:cs="Calibri"/>
          <w:lang w:val="en-GB"/>
        </w:rPr>
        <w:t>from</w:t>
      </w:r>
      <w:r w:rsidRPr="003A78F3">
        <w:rPr>
          <w:rFonts w:cs="Calibri"/>
          <w:lang w:val="en-GB"/>
        </w:rPr>
        <w:t xml:space="preserve"> 18</w:t>
      </w:r>
      <w:r w:rsidR="00E22771" w:rsidRPr="003A78F3">
        <w:rPr>
          <w:rFonts w:cs="Calibri"/>
          <w:lang w:val="en-GB"/>
        </w:rPr>
        <w:t>%</w:t>
      </w:r>
      <w:r w:rsidRPr="003A78F3">
        <w:rPr>
          <w:rFonts w:cs="Calibri"/>
          <w:lang w:val="en-GB"/>
        </w:rPr>
        <w:t xml:space="preserve"> to 30% (</w:t>
      </w:r>
      <w:r w:rsidR="00C44A4C" w:rsidRPr="003A78F3">
        <w:rPr>
          <w:rFonts w:cs="Calibri"/>
          <w:lang w:val="en-GB"/>
        </w:rPr>
        <w:t>Figure</w:t>
      </w:r>
      <w:r w:rsidRPr="003A78F3">
        <w:rPr>
          <w:rFonts w:cs="Calibri"/>
          <w:lang w:val="en-GB"/>
        </w:rPr>
        <w:t xml:space="preserve"> 3).</w:t>
      </w:r>
    </w:p>
    <w:p w:rsidR="00A97C31" w:rsidRPr="003A78F3" w:rsidRDefault="00622566" w:rsidP="00403657">
      <w:pPr>
        <w:spacing w:line="240" w:lineRule="auto"/>
        <w:jc w:val="center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Figure 3. </w:t>
      </w:r>
      <w:r w:rsidR="00E22771" w:rsidRPr="003A78F3">
        <w:rPr>
          <w:rFonts w:cs="Calibri"/>
          <w:lang w:val="en-GB"/>
        </w:rPr>
        <w:t>E</w:t>
      </w:r>
      <w:r w:rsidRPr="003A78F3">
        <w:rPr>
          <w:rFonts w:cs="Calibri"/>
          <w:lang w:val="en-GB"/>
        </w:rPr>
        <w:t xml:space="preserve">xternal debt of the government sector </w:t>
      </w:r>
      <w:r w:rsidR="00E22771" w:rsidRPr="003A78F3">
        <w:rPr>
          <w:rFonts w:cs="Calibri"/>
          <w:lang w:val="en-GB"/>
        </w:rPr>
        <w:t>as a percentage of</w:t>
      </w:r>
      <w:r w:rsidRPr="003A78F3">
        <w:rPr>
          <w:rFonts w:cs="Calibri"/>
          <w:lang w:val="en-GB"/>
        </w:rPr>
        <w:t xml:space="preserve"> BiH GDP </w:t>
      </w:r>
      <w:r w:rsidR="00B41AD8">
        <w:rPr>
          <w:rFonts w:cs="Calibri"/>
          <w:noProof/>
          <w:lang w:val="bs-Latn-BA" w:eastAsia="bs-Latn-BA"/>
        </w:rPr>
        <w:drawing>
          <wp:inline distT="0" distB="0" distL="0" distR="0">
            <wp:extent cx="5415244" cy="2551671"/>
            <wp:effectExtent l="19050" t="0" r="0" b="0"/>
            <wp:docPr id="6" name="Picture 5" descr="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427" cy="255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C31" w:rsidRPr="00B41AD8" w:rsidRDefault="00622566" w:rsidP="00403657">
      <w:pPr>
        <w:spacing w:line="240" w:lineRule="auto"/>
        <w:jc w:val="center"/>
        <w:rPr>
          <w:rFonts w:cs="Calibri"/>
          <w:i/>
          <w:lang w:val="en-GB"/>
        </w:rPr>
      </w:pPr>
      <w:r w:rsidRPr="00B41AD8">
        <w:rPr>
          <w:rFonts w:cs="Calibri"/>
          <w:i/>
          <w:lang w:val="en-GB"/>
        </w:rPr>
        <w:t>Source: Central Bank of BiH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rFonts w:cs="Calibri"/>
          <w:lang w:val="en-GB"/>
        </w:rPr>
        <w:t xml:space="preserve">The public debt of the government sector </w:t>
      </w:r>
      <w:r w:rsidR="00FA279D" w:rsidRPr="003A78F3">
        <w:rPr>
          <w:rFonts w:cs="Calibri"/>
          <w:lang w:val="en-GB"/>
        </w:rPr>
        <w:t xml:space="preserve">in </w:t>
      </w:r>
      <w:r w:rsidRPr="003A78F3">
        <w:rPr>
          <w:rFonts w:cs="Calibri"/>
          <w:lang w:val="en-GB"/>
        </w:rPr>
        <w:t>BiH</w:t>
      </w:r>
      <w:r w:rsidR="00FA279D" w:rsidRPr="003A78F3">
        <w:rPr>
          <w:rFonts w:cs="Calibri"/>
          <w:lang w:val="en-GB"/>
        </w:rPr>
        <w:t>, in addition to</w:t>
      </w:r>
      <w:r w:rsidRPr="003A78F3">
        <w:rPr>
          <w:rFonts w:cs="Calibri"/>
          <w:lang w:val="en-GB"/>
        </w:rPr>
        <w:t xml:space="preserve"> external debt</w:t>
      </w:r>
      <w:r w:rsidR="00FA279D" w:rsidRPr="003A78F3">
        <w:rPr>
          <w:rFonts w:cs="Calibri"/>
          <w:lang w:val="en-GB"/>
        </w:rPr>
        <w:t>, includes</w:t>
      </w:r>
      <w:r w:rsidRPr="003A78F3">
        <w:rPr>
          <w:rFonts w:cs="Calibri"/>
          <w:lang w:val="en-GB"/>
        </w:rPr>
        <w:t xml:space="preserve"> data on the amount of internal debt. According to data published in the </w:t>
      </w:r>
      <w:r w:rsidR="00FA279D" w:rsidRPr="003A78F3">
        <w:rPr>
          <w:rFonts w:cs="Calibri"/>
          <w:lang w:val="en-GB"/>
        </w:rPr>
        <w:t>2015-2018 National Economic Reform P</w:t>
      </w:r>
      <w:r w:rsidRPr="003A78F3">
        <w:rPr>
          <w:rFonts w:cs="Calibri"/>
          <w:lang w:val="en-GB"/>
        </w:rPr>
        <w:t>rogram</w:t>
      </w:r>
      <w:r w:rsidR="00FA279D" w:rsidRPr="003A78F3">
        <w:rPr>
          <w:rFonts w:cs="Calibri"/>
          <w:lang w:val="en-GB"/>
        </w:rPr>
        <w:t>me</w:t>
      </w:r>
      <w:r w:rsidRPr="003A78F3">
        <w:rPr>
          <w:rFonts w:cs="Calibri"/>
          <w:lang w:val="en-GB"/>
        </w:rPr>
        <w:t>, the share of total public debt in 2014 exceed</w:t>
      </w:r>
      <w:r w:rsidR="00913429" w:rsidRPr="003A78F3">
        <w:rPr>
          <w:rFonts w:cs="Calibri"/>
          <w:lang w:val="en-GB"/>
        </w:rPr>
        <w:t>ed</w:t>
      </w:r>
      <w:r w:rsidRPr="003A78F3">
        <w:rPr>
          <w:rFonts w:cs="Calibri"/>
          <w:lang w:val="en-GB"/>
        </w:rPr>
        <w:t xml:space="preserve"> 40% of GDP and is projected to start </w:t>
      </w:r>
      <w:r w:rsidR="00913429" w:rsidRPr="003A78F3">
        <w:rPr>
          <w:rFonts w:cs="Calibri"/>
          <w:lang w:val="en-GB"/>
        </w:rPr>
        <w:t xml:space="preserve">falling </w:t>
      </w:r>
      <w:r w:rsidR="002B40F7">
        <w:rPr>
          <w:rFonts w:cs="Calibri"/>
          <w:lang w:val="en-GB"/>
        </w:rPr>
        <w:t>in</w:t>
      </w:r>
      <w:r w:rsidRPr="003A78F3">
        <w:rPr>
          <w:rFonts w:cs="Calibri"/>
          <w:lang w:val="en-GB"/>
        </w:rPr>
        <w:t xml:space="preserve"> 2017</w:t>
      </w:r>
      <w:r w:rsidR="002B40F7">
        <w:rPr>
          <w:rFonts w:cs="Calibri"/>
          <w:lang w:val="en-GB"/>
        </w:rPr>
        <w:t xml:space="preserve"> at the earliest</w:t>
      </w:r>
      <w:r w:rsidRPr="003A78F3">
        <w:rPr>
          <w:rFonts w:cs="Calibri"/>
          <w:lang w:val="en-GB"/>
        </w:rPr>
        <w:t>.</w:t>
      </w:r>
    </w:p>
    <w:p w:rsidR="00A97C31" w:rsidRPr="003A78F3" w:rsidRDefault="00622566" w:rsidP="00403657">
      <w:pPr>
        <w:pStyle w:val="Heading1"/>
        <w:spacing w:line="240" w:lineRule="auto"/>
        <w:jc w:val="center"/>
        <w:rPr>
          <w:rFonts w:ascii="Calibri" w:hAnsi="Calibri" w:cs="Calibri" w:hint="default"/>
          <w:sz w:val="32"/>
          <w:szCs w:val="32"/>
          <w:lang w:val="en-GB"/>
        </w:rPr>
      </w:pPr>
      <w:bookmarkStart w:id="24" w:name="_Toc473971995"/>
      <w:r w:rsidRPr="003A78F3">
        <w:rPr>
          <w:rFonts w:ascii="Calibri" w:hAnsi="Calibri" w:cs="Calibri" w:hint="default"/>
          <w:sz w:val="32"/>
          <w:szCs w:val="32"/>
          <w:lang w:val="en-GB"/>
        </w:rPr>
        <w:lastRenderedPageBreak/>
        <w:t xml:space="preserve">IV Recommendations for achieving </w:t>
      </w:r>
      <w:r w:rsidR="000244CC" w:rsidRPr="003A78F3">
        <w:rPr>
          <w:rFonts w:ascii="Calibri" w:hAnsi="Calibri" w:cs="Calibri" w:hint="default"/>
          <w:sz w:val="32"/>
          <w:szCs w:val="32"/>
          <w:lang w:val="en-GB"/>
        </w:rPr>
        <w:t xml:space="preserve">PAR </w:t>
      </w:r>
      <w:r w:rsidRPr="003A78F3">
        <w:rPr>
          <w:rFonts w:ascii="Calibri" w:hAnsi="Calibri" w:cs="Calibri" w:hint="default"/>
          <w:sz w:val="32"/>
          <w:szCs w:val="32"/>
          <w:lang w:val="en-GB"/>
        </w:rPr>
        <w:t xml:space="preserve">objectives in </w:t>
      </w:r>
      <w:r w:rsidR="000244CC" w:rsidRPr="003A78F3">
        <w:rPr>
          <w:rFonts w:ascii="Calibri" w:hAnsi="Calibri" w:cs="Calibri" w:hint="default"/>
          <w:sz w:val="32"/>
          <w:szCs w:val="32"/>
          <w:lang w:val="en-GB"/>
        </w:rPr>
        <w:t xml:space="preserve">the area of </w:t>
      </w:r>
      <w:r w:rsidRPr="003A78F3">
        <w:rPr>
          <w:rFonts w:ascii="Calibri" w:hAnsi="Calibri" w:cs="Calibri" w:hint="default"/>
          <w:sz w:val="32"/>
          <w:szCs w:val="32"/>
          <w:lang w:val="en-GB"/>
        </w:rPr>
        <w:t>public finance</w:t>
      </w:r>
      <w:bookmarkEnd w:id="24"/>
    </w:p>
    <w:p w:rsidR="00A97C31" w:rsidRPr="003A78F3" w:rsidRDefault="00622566" w:rsidP="00403657">
      <w:pPr>
        <w:spacing w:line="240" w:lineRule="auto"/>
        <w:jc w:val="both"/>
        <w:rPr>
          <w:lang w:val="en-GB"/>
        </w:rPr>
      </w:pPr>
      <w:r w:rsidRPr="003A78F3">
        <w:rPr>
          <w:lang w:val="en-GB"/>
        </w:rPr>
        <w:t xml:space="preserve">The time frame of the </w:t>
      </w:r>
      <w:r w:rsidR="00D638C6" w:rsidRPr="003A78F3">
        <w:rPr>
          <w:lang w:val="en-GB"/>
        </w:rPr>
        <w:t xml:space="preserve">Public Administration Reform </w:t>
      </w:r>
      <w:r w:rsidRPr="003A78F3">
        <w:rPr>
          <w:lang w:val="en-GB"/>
        </w:rPr>
        <w:t>Strategy</w:t>
      </w:r>
      <w:r w:rsidR="002C48EA" w:rsidRPr="003A78F3">
        <w:rPr>
          <w:lang w:val="en-GB"/>
        </w:rPr>
        <w:t>, which is the</w:t>
      </w:r>
      <w:r w:rsidRPr="003A78F3">
        <w:rPr>
          <w:lang w:val="en-GB"/>
        </w:rPr>
        <w:t xml:space="preserve"> basic strategic document for the implementation of public administration reform in BiH</w:t>
      </w:r>
      <w:r w:rsidR="002C48EA" w:rsidRPr="003A78F3">
        <w:rPr>
          <w:lang w:val="en-GB"/>
        </w:rPr>
        <w:t>,</w:t>
      </w:r>
      <w:r w:rsidRPr="003A78F3">
        <w:rPr>
          <w:lang w:val="en-GB"/>
        </w:rPr>
        <w:t xml:space="preserve"> is the end of 2014. Recommendations for further reform </w:t>
      </w:r>
      <w:r w:rsidR="002C48EA" w:rsidRPr="003A78F3">
        <w:rPr>
          <w:lang w:val="en-GB"/>
        </w:rPr>
        <w:t>in the area of ​​public finance</w:t>
      </w:r>
      <w:r w:rsidRPr="003A78F3">
        <w:rPr>
          <w:lang w:val="en-GB"/>
        </w:rPr>
        <w:t xml:space="preserve"> </w:t>
      </w:r>
      <w:r w:rsidR="002C48EA" w:rsidRPr="003A78F3">
        <w:rPr>
          <w:lang w:val="en-GB"/>
        </w:rPr>
        <w:t xml:space="preserve">were formulated </w:t>
      </w:r>
      <w:r w:rsidRPr="003A78F3">
        <w:rPr>
          <w:lang w:val="en-GB"/>
        </w:rPr>
        <w:t xml:space="preserve">on the basis of the monitoring and </w:t>
      </w:r>
      <w:r w:rsidR="002C48EA" w:rsidRPr="003A78F3">
        <w:rPr>
          <w:lang w:val="en-GB"/>
        </w:rPr>
        <w:t xml:space="preserve">are </w:t>
      </w:r>
      <w:r w:rsidRPr="003A78F3">
        <w:rPr>
          <w:lang w:val="en-GB"/>
        </w:rPr>
        <w:t>presented by chapters and reform objectives.</w:t>
      </w:r>
    </w:p>
    <w:p w:rsidR="00E81D05" w:rsidRPr="003A78F3" w:rsidRDefault="00E81D05" w:rsidP="00403657">
      <w:pPr>
        <w:spacing w:line="240" w:lineRule="auto"/>
        <w:rPr>
          <w:b/>
          <w:bCs/>
          <w:sz w:val="16"/>
          <w:szCs w:val="16"/>
          <w:lang w:val="en-GB"/>
        </w:rPr>
      </w:pPr>
    </w:p>
    <w:p w:rsidR="00A97C31" w:rsidRPr="003A78F3" w:rsidRDefault="00622566" w:rsidP="00403657">
      <w:pPr>
        <w:spacing w:line="240" w:lineRule="auto"/>
        <w:rPr>
          <w:b/>
          <w:bCs/>
          <w:lang w:val="en-GB"/>
        </w:rPr>
      </w:pPr>
      <w:r w:rsidRPr="003A78F3">
        <w:rPr>
          <w:b/>
          <w:bCs/>
          <w:lang w:val="en-GB"/>
        </w:rPr>
        <w:t xml:space="preserve">1. </w:t>
      </w:r>
      <w:r w:rsidR="002C48EA" w:rsidRPr="003A78F3">
        <w:rPr>
          <w:b/>
          <w:bCs/>
          <w:lang w:val="en-GB"/>
        </w:rPr>
        <w:t>Increasing efficiency and effectiveness of budget management</w:t>
      </w:r>
    </w:p>
    <w:p w:rsidR="00A97C31" w:rsidRPr="003A78F3" w:rsidRDefault="00622566" w:rsidP="00403657">
      <w:pPr>
        <w:spacing w:line="240" w:lineRule="auto"/>
        <w:jc w:val="both"/>
        <w:rPr>
          <w:b/>
          <w:bCs/>
          <w:lang w:val="en-GB"/>
        </w:rPr>
      </w:pPr>
      <w:r w:rsidRPr="003A78F3">
        <w:rPr>
          <w:b/>
          <w:bCs/>
          <w:lang w:val="en-GB"/>
        </w:rPr>
        <w:t xml:space="preserve">Recommendation: </w:t>
      </w:r>
      <w:r w:rsidR="00B626B6" w:rsidRPr="003A78F3">
        <w:rPr>
          <w:b/>
          <w:bCs/>
          <w:lang w:val="en-GB"/>
        </w:rPr>
        <w:t>Facilitate</w:t>
      </w:r>
      <w:r w:rsidRPr="003A78F3">
        <w:rPr>
          <w:b/>
          <w:bCs/>
          <w:lang w:val="en-GB"/>
        </w:rPr>
        <w:t xml:space="preserve"> further steps in the </w:t>
      </w:r>
      <w:r w:rsidR="00B626B6" w:rsidRPr="003A78F3">
        <w:rPr>
          <w:b/>
          <w:bCs/>
          <w:lang w:val="en-GB"/>
        </w:rPr>
        <w:t>introduction</w:t>
      </w:r>
      <w:r w:rsidRPr="003A78F3">
        <w:rPr>
          <w:b/>
          <w:bCs/>
          <w:lang w:val="en-GB"/>
        </w:rPr>
        <w:t xml:space="preserve"> of </w:t>
      </w:r>
      <w:r w:rsidR="004E0C49" w:rsidRPr="003A78F3">
        <w:rPr>
          <w:b/>
          <w:bCs/>
          <w:lang w:val="en-GB"/>
        </w:rPr>
        <w:t>programme-based budgeting</w:t>
      </w:r>
      <w:r w:rsidR="00B626B6" w:rsidRPr="003A78F3">
        <w:rPr>
          <w:b/>
          <w:bCs/>
          <w:lang w:val="en-GB"/>
        </w:rPr>
        <w:t>, strengthen existing programme</w:t>
      </w:r>
      <w:r w:rsidRPr="003A78F3">
        <w:rPr>
          <w:b/>
          <w:bCs/>
          <w:lang w:val="en-GB"/>
        </w:rPr>
        <w:t xml:space="preserve"> formats and </w:t>
      </w:r>
      <w:r w:rsidR="00B626B6" w:rsidRPr="003A78F3">
        <w:rPr>
          <w:b/>
          <w:bCs/>
          <w:lang w:val="en-GB"/>
        </w:rPr>
        <w:t xml:space="preserve">ensure </w:t>
      </w:r>
      <w:r w:rsidRPr="003A78F3">
        <w:rPr>
          <w:b/>
          <w:bCs/>
          <w:lang w:val="en-GB"/>
        </w:rPr>
        <w:t xml:space="preserve">better connectivity with strategic objectives. </w:t>
      </w:r>
    </w:p>
    <w:p w:rsidR="00A97C31" w:rsidRPr="003A78F3" w:rsidRDefault="0022529D" w:rsidP="00403657">
      <w:pPr>
        <w:spacing w:line="240" w:lineRule="auto"/>
        <w:jc w:val="both"/>
        <w:rPr>
          <w:lang w:val="en-GB"/>
        </w:rPr>
      </w:pPr>
      <w:r w:rsidRPr="003A78F3">
        <w:rPr>
          <w:b/>
          <w:bCs/>
          <w:lang w:val="en-GB"/>
        </w:rPr>
        <w:t>Rationale</w:t>
      </w:r>
      <w:r w:rsidR="00622566" w:rsidRPr="003A78F3">
        <w:rPr>
          <w:b/>
          <w:bCs/>
          <w:lang w:val="en-GB"/>
        </w:rPr>
        <w:t xml:space="preserve">: </w:t>
      </w:r>
      <w:r w:rsidR="00622566" w:rsidRPr="003A78F3">
        <w:rPr>
          <w:lang w:val="en-GB"/>
        </w:rPr>
        <w:t xml:space="preserve">Successful </w:t>
      </w:r>
      <w:r w:rsidR="00B626B6" w:rsidRPr="003A78F3">
        <w:rPr>
          <w:lang w:val="en-GB"/>
        </w:rPr>
        <w:t>implementation of “</w:t>
      </w:r>
      <w:r w:rsidR="00622566" w:rsidRPr="003A78F3">
        <w:rPr>
          <w:lang w:val="en-GB"/>
        </w:rPr>
        <w:t xml:space="preserve">Budget Management Information System </w:t>
      </w:r>
      <w:r w:rsidR="00B626B6" w:rsidRPr="003A78F3">
        <w:rPr>
          <w:lang w:val="en-GB"/>
        </w:rPr>
        <w:t>–</w:t>
      </w:r>
      <w:r w:rsidR="00622566" w:rsidRPr="003A78F3">
        <w:rPr>
          <w:lang w:val="en-GB"/>
        </w:rPr>
        <w:t xml:space="preserve"> BPMIS</w:t>
      </w:r>
      <w:r w:rsidR="00B626B6" w:rsidRPr="003A78F3">
        <w:rPr>
          <w:lang w:val="en-GB"/>
        </w:rPr>
        <w:t>”</w:t>
      </w:r>
      <w:r w:rsidR="00622566" w:rsidRPr="003A78F3">
        <w:rPr>
          <w:lang w:val="en-GB"/>
        </w:rPr>
        <w:t xml:space="preserve"> </w:t>
      </w:r>
      <w:r w:rsidR="00B626B6" w:rsidRPr="003A78F3">
        <w:rPr>
          <w:lang w:val="en-GB"/>
        </w:rPr>
        <w:t>at</w:t>
      </w:r>
      <w:r w:rsidR="00622566" w:rsidRPr="003A78F3">
        <w:rPr>
          <w:lang w:val="en-GB"/>
        </w:rPr>
        <w:t xml:space="preserve"> all four levels of government in BiH contributes to increasing the efficiency and effectiveness of budget management and creates technical preconditions for the introduction of </w:t>
      </w:r>
      <w:r w:rsidR="004E0C49" w:rsidRPr="003A78F3">
        <w:rPr>
          <w:lang w:val="en-GB"/>
        </w:rPr>
        <w:t>programme-based budgeting</w:t>
      </w:r>
      <w:r w:rsidR="00622566" w:rsidRPr="003A78F3">
        <w:rPr>
          <w:lang w:val="en-GB"/>
        </w:rPr>
        <w:t xml:space="preserve"> in </w:t>
      </w:r>
      <w:r w:rsidR="002B40F7">
        <w:rPr>
          <w:lang w:val="en-GB"/>
        </w:rPr>
        <w:t xml:space="preserve">the </w:t>
      </w:r>
      <w:r w:rsidR="00622566" w:rsidRPr="003A78F3">
        <w:rPr>
          <w:lang w:val="en-GB"/>
        </w:rPr>
        <w:t xml:space="preserve">public administration in BiH. Through the project </w:t>
      </w:r>
      <w:r w:rsidR="00B626B6" w:rsidRPr="003A78F3">
        <w:rPr>
          <w:lang w:val="en-GB"/>
        </w:rPr>
        <w:t>“</w:t>
      </w:r>
      <w:r w:rsidR="00622566" w:rsidRPr="003A78F3">
        <w:rPr>
          <w:lang w:val="en-GB"/>
        </w:rPr>
        <w:t>Strengthening Public Expenditure Management</w:t>
      </w:r>
      <w:r w:rsidR="00B626B6" w:rsidRPr="003A78F3">
        <w:rPr>
          <w:lang w:val="en-GB"/>
        </w:rPr>
        <w:t>”</w:t>
      </w:r>
      <w:r w:rsidR="00622566" w:rsidRPr="003A78F3">
        <w:rPr>
          <w:lang w:val="en-GB"/>
        </w:rPr>
        <w:t xml:space="preserve">, which is financed from IPA 2010, </w:t>
      </w:r>
      <w:r w:rsidR="00B626B6" w:rsidRPr="003A78F3">
        <w:rPr>
          <w:lang w:val="en-GB"/>
        </w:rPr>
        <w:t>it is necessary</w:t>
      </w:r>
      <w:r w:rsidR="00622566" w:rsidRPr="003A78F3">
        <w:rPr>
          <w:lang w:val="en-GB"/>
        </w:rPr>
        <w:t xml:space="preserve"> to continue to provide technical support to </w:t>
      </w:r>
      <w:r w:rsidR="00B626B6" w:rsidRPr="003A78F3">
        <w:rPr>
          <w:lang w:val="en-GB"/>
        </w:rPr>
        <w:t>governments</w:t>
      </w:r>
      <w:r w:rsidR="00622566" w:rsidRPr="003A78F3">
        <w:rPr>
          <w:lang w:val="en-GB"/>
        </w:rPr>
        <w:t xml:space="preserve"> to prepare, adopt and publish </w:t>
      </w:r>
      <w:r w:rsidR="00B626B6" w:rsidRPr="003A78F3">
        <w:rPr>
          <w:lang w:val="en-GB"/>
        </w:rPr>
        <w:t>their</w:t>
      </w:r>
      <w:r w:rsidR="00622566" w:rsidRPr="003A78F3">
        <w:rPr>
          <w:lang w:val="en-GB"/>
        </w:rPr>
        <w:t xml:space="preserve"> </w:t>
      </w:r>
      <w:r w:rsidR="001B50E2" w:rsidRPr="003A78F3">
        <w:rPr>
          <w:lang w:val="en-GB"/>
        </w:rPr>
        <w:t>BFP</w:t>
      </w:r>
      <w:r w:rsidR="00B626B6" w:rsidRPr="003A78F3">
        <w:rPr>
          <w:lang w:val="en-GB"/>
        </w:rPr>
        <w:t>s and budgets in the</w:t>
      </w:r>
      <w:r w:rsidR="00622566" w:rsidRPr="003A78F3">
        <w:rPr>
          <w:lang w:val="en-GB"/>
        </w:rPr>
        <w:t xml:space="preserve"> program</w:t>
      </w:r>
      <w:r w:rsidR="00B626B6" w:rsidRPr="003A78F3">
        <w:rPr>
          <w:lang w:val="en-GB"/>
        </w:rPr>
        <w:t>me</w:t>
      </w:r>
      <w:r w:rsidR="00622566" w:rsidRPr="003A78F3">
        <w:rPr>
          <w:lang w:val="en-GB"/>
        </w:rPr>
        <w:t xml:space="preserve"> format.  </w:t>
      </w:r>
    </w:p>
    <w:p w:rsidR="00A97C31" w:rsidRPr="003A78F3" w:rsidRDefault="00A97C31" w:rsidP="00403657">
      <w:pPr>
        <w:spacing w:line="240" w:lineRule="auto"/>
        <w:rPr>
          <w:sz w:val="16"/>
          <w:szCs w:val="16"/>
          <w:lang w:val="en-GB"/>
        </w:rPr>
      </w:pPr>
    </w:p>
    <w:p w:rsidR="00A97C31" w:rsidRPr="003A78F3" w:rsidRDefault="00622566" w:rsidP="00403657">
      <w:pPr>
        <w:spacing w:line="240" w:lineRule="auto"/>
        <w:rPr>
          <w:b/>
          <w:bCs/>
          <w:lang w:val="en-GB"/>
        </w:rPr>
      </w:pPr>
      <w:r w:rsidRPr="003A78F3">
        <w:rPr>
          <w:b/>
          <w:bCs/>
          <w:lang w:val="en-GB"/>
        </w:rPr>
        <w:t xml:space="preserve">2. </w:t>
      </w:r>
      <w:r w:rsidR="002C48EA" w:rsidRPr="003A78F3">
        <w:rPr>
          <w:b/>
          <w:bCs/>
          <w:lang w:val="en-GB"/>
        </w:rPr>
        <w:t>Improving the accounting framework and the treasury system operations</w:t>
      </w:r>
    </w:p>
    <w:p w:rsidR="00A97C31" w:rsidRPr="003A78F3" w:rsidRDefault="00622566" w:rsidP="00403657">
      <w:pPr>
        <w:spacing w:line="240" w:lineRule="auto"/>
        <w:jc w:val="both"/>
        <w:rPr>
          <w:b/>
          <w:bCs/>
          <w:lang w:val="en-GB"/>
        </w:rPr>
      </w:pPr>
      <w:r w:rsidRPr="003A78F3">
        <w:rPr>
          <w:b/>
          <w:bCs/>
          <w:lang w:val="en-GB"/>
        </w:rPr>
        <w:t xml:space="preserve">Recommendation 2: </w:t>
      </w:r>
      <w:r w:rsidR="00EE342A" w:rsidRPr="003A78F3">
        <w:rPr>
          <w:b/>
          <w:bCs/>
          <w:lang w:val="en-GB"/>
        </w:rPr>
        <w:t>Fulfil</w:t>
      </w:r>
      <w:r w:rsidRPr="003A78F3">
        <w:rPr>
          <w:b/>
          <w:bCs/>
          <w:lang w:val="en-GB"/>
        </w:rPr>
        <w:t xml:space="preserve"> the </w:t>
      </w:r>
      <w:r w:rsidR="00EE342A" w:rsidRPr="003A78F3">
        <w:rPr>
          <w:b/>
          <w:bCs/>
          <w:lang w:val="en-GB"/>
        </w:rPr>
        <w:t>objective</w:t>
      </w:r>
      <w:r w:rsidRPr="003A78F3">
        <w:rPr>
          <w:b/>
          <w:bCs/>
          <w:lang w:val="en-GB"/>
        </w:rPr>
        <w:t xml:space="preserve"> of introducing treasury </w:t>
      </w:r>
      <w:r w:rsidR="00EE342A" w:rsidRPr="003A78F3">
        <w:rPr>
          <w:b/>
          <w:bCs/>
          <w:lang w:val="en-GB"/>
        </w:rPr>
        <w:t>operations</w:t>
      </w:r>
      <w:r w:rsidRPr="003A78F3">
        <w:rPr>
          <w:b/>
          <w:bCs/>
          <w:lang w:val="en-GB"/>
        </w:rPr>
        <w:t xml:space="preserve"> in the </w:t>
      </w:r>
      <w:r w:rsidR="00EE342A" w:rsidRPr="003A78F3">
        <w:rPr>
          <w:b/>
          <w:bCs/>
          <w:lang w:val="en-GB"/>
        </w:rPr>
        <w:t>entire</w:t>
      </w:r>
      <w:r w:rsidRPr="003A78F3">
        <w:rPr>
          <w:b/>
          <w:bCs/>
          <w:lang w:val="en-GB"/>
        </w:rPr>
        <w:t xml:space="preserve"> public administration</w:t>
      </w:r>
      <w:r w:rsidR="00EE342A" w:rsidRPr="003A78F3">
        <w:rPr>
          <w:b/>
          <w:bCs/>
          <w:lang w:val="en-GB"/>
        </w:rPr>
        <w:t xml:space="preserve"> in BiH. The International Public Sector Accounting Standards </w:t>
      </w:r>
      <w:r w:rsidRPr="003A78F3">
        <w:rPr>
          <w:b/>
          <w:bCs/>
          <w:lang w:val="en-GB"/>
        </w:rPr>
        <w:t>(</w:t>
      </w:r>
      <w:r w:rsidR="00EE342A" w:rsidRPr="003A78F3">
        <w:rPr>
          <w:b/>
          <w:bCs/>
          <w:lang w:val="en-GB"/>
        </w:rPr>
        <w:t>IPSAS</w:t>
      </w:r>
      <w:r w:rsidRPr="003A78F3">
        <w:rPr>
          <w:b/>
          <w:bCs/>
          <w:lang w:val="en-GB"/>
        </w:rPr>
        <w:t xml:space="preserve">) </w:t>
      </w:r>
      <w:r w:rsidR="002B40F7">
        <w:rPr>
          <w:b/>
          <w:bCs/>
          <w:lang w:val="en-GB"/>
        </w:rPr>
        <w:t>need</w:t>
      </w:r>
      <w:r w:rsidR="00EE342A" w:rsidRPr="003A78F3">
        <w:rPr>
          <w:b/>
          <w:bCs/>
          <w:lang w:val="en-GB"/>
        </w:rPr>
        <w:t xml:space="preserve"> to be </w:t>
      </w:r>
      <w:r w:rsidRPr="003A78F3">
        <w:rPr>
          <w:b/>
          <w:bCs/>
          <w:lang w:val="en-GB"/>
        </w:rPr>
        <w:t xml:space="preserve">implemented at all levels of government. </w:t>
      </w:r>
      <w:r w:rsidR="00EE342A" w:rsidRPr="003A78F3">
        <w:rPr>
          <w:b/>
          <w:bCs/>
          <w:lang w:val="en-GB"/>
        </w:rPr>
        <w:t xml:space="preserve">Donor support </w:t>
      </w:r>
      <w:r w:rsidRPr="003A78F3">
        <w:rPr>
          <w:b/>
          <w:bCs/>
          <w:lang w:val="en-GB"/>
        </w:rPr>
        <w:t xml:space="preserve">is recommended to </w:t>
      </w:r>
      <w:r w:rsidR="00EE342A" w:rsidRPr="003A78F3">
        <w:rPr>
          <w:b/>
          <w:bCs/>
          <w:lang w:val="en-GB"/>
        </w:rPr>
        <w:t>be sought</w:t>
      </w:r>
      <w:r w:rsidRPr="003A78F3">
        <w:rPr>
          <w:b/>
          <w:bCs/>
          <w:lang w:val="en-GB"/>
        </w:rPr>
        <w:t xml:space="preserve"> </w:t>
      </w:r>
      <w:r w:rsidR="00EE342A" w:rsidRPr="003A78F3">
        <w:rPr>
          <w:b/>
          <w:bCs/>
          <w:lang w:val="en-GB"/>
        </w:rPr>
        <w:t>for</w:t>
      </w:r>
      <w:r w:rsidRPr="003A78F3">
        <w:rPr>
          <w:b/>
          <w:bCs/>
          <w:lang w:val="en-GB"/>
        </w:rPr>
        <w:t xml:space="preserve"> implement</w:t>
      </w:r>
      <w:r w:rsidR="00EE342A" w:rsidRPr="003A78F3">
        <w:rPr>
          <w:b/>
          <w:bCs/>
          <w:lang w:val="en-GB"/>
        </w:rPr>
        <w:t>ation of</w:t>
      </w:r>
      <w:r w:rsidRPr="003A78F3">
        <w:rPr>
          <w:b/>
          <w:bCs/>
          <w:lang w:val="en-GB"/>
        </w:rPr>
        <w:t xml:space="preserve"> these objectives.</w:t>
      </w:r>
    </w:p>
    <w:p w:rsidR="00A97C31" w:rsidRPr="003A78F3" w:rsidRDefault="0022529D" w:rsidP="00403657">
      <w:pPr>
        <w:spacing w:line="240" w:lineRule="auto"/>
        <w:jc w:val="both"/>
        <w:rPr>
          <w:lang w:val="en-GB"/>
        </w:rPr>
      </w:pPr>
      <w:r w:rsidRPr="003A78F3">
        <w:rPr>
          <w:b/>
          <w:bCs/>
          <w:lang w:val="en-GB"/>
        </w:rPr>
        <w:t>Rationale</w:t>
      </w:r>
      <w:r w:rsidR="00622566" w:rsidRPr="003A78F3">
        <w:rPr>
          <w:b/>
          <w:bCs/>
          <w:lang w:val="en-GB"/>
        </w:rPr>
        <w:t xml:space="preserve">: </w:t>
      </w:r>
      <w:r w:rsidR="00622566" w:rsidRPr="003A78F3">
        <w:rPr>
          <w:lang w:val="en-GB"/>
        </w:rPr>
        <w:t xml:space="preserve">Improvement of the treasury system is reflected in the introduction of the treasury system in public administration at all levels of government. </w:t>
      </w:r>
      <w:r w:rsidR="00EE342A" w:rsidRPr="003A78F3">
        <w:rPr>
          <w:lang w:val="en-GB"/>
        </w:rPr>
        <w:t>The treasury system</w:t>
      </w:r>
      <w:r w:rsidR="00622566" w:rsidRPr="003A78F3">
        <w:rPr>
          <w:lang w:val="en-GB"/>
        </w:rPr>
        <w:t xml:space="preserve"> was introduced at the level</w:t>
      </w:r>
      <w:r w:rsidR="002B40F7">
        <w:rPr>
          <w:lang w:val="en-GB"/>
        </w:rPr>
        <w:t>s</w:t>
      </w:r>
      <w:r w:rsidR="00622566" w:rsidRPr="003A78F3">
        <w:rPr>
          <w:lang w:val="en-GB"/>
        </w:rPr>
        <w:t xml:space="preserve"> of BiH, RS, FBiH and Canton</w:t>
      </w:r>
      <w:r w:rsidR="00EE342A" w:rsidRPr="003A78F3">
        <w:rPr>
          <w:lang w:val="en-GB"/>
        </w:rPr>
        <w:t>s</w:t>
      </w:r>
      <w:r w:rsidR="00622566" w:rsidRPr="003A78F3">
        <w:rPr>
          <w:lang w:val="en-GB"/>
        </w:rPr>
        <w:t>. In RS</w:t>
      </w:r>
      <w:r w:rsidR="00EF556B" w:rsidRPr="003A78F3">
        <w:rPr>
          <w:lang w:val="en-GB"/>
        </w:rPr>
        <w:t>,</w:t>
      </w:r>
      <w:r w:rsidR="00622566" w:rsidRPr="003A78F3">
        <w:rPr>
          <w:lang w:val="en-GB"/>
        </w:rPr>
        <w:t xml:space="preserve"> </w:t>
      </w:r>
      <w:r w:rsidR="00D75066" w:rsidRPr="003A78F3">
        <w:rPr>
          <w:lang w:val="en-GB"/>
        </w:rPr>
        <w:t>all beneficiaries of the Republic budget and all beneficiaries of municipal and city budgets have been operating within the</w:t>
      </w:r>
      <w:r w:rsidR="00622566" w:rsidRPr="003A78F3">
        <w:rPr>
          <w:lang w:val="en-GB"/>
        </w:rPr>
        <w:t xml:space="preserve"> treasury</w:t>
      </w:r>
      <w:r w:rsidR="00D75066" w:rsidRPr="003A78F3">
        <w:rPr>
          <w:lang w:val="en-GB"/>
        </w:rPr>
        <w:t xml:space="preserve"> system</w:t>
      </w:r>
      <w:r w:rsidR="00EF556B" w:rsidRPr="003A78F3">
        <w:rPr>
          <w:lang w:val="en-GB"/>
        </w:rPr>
        <w:t xml:space="preserve"> since 1 January 2013. In FBiH not all local governments </w:t>
      </w:r>
      <w:r w:rsidR="00622566" w:rsidRPr="003A78F3">
        <w:rPr>
          <w:lang w:val="en-GB"/>
        </w:rPr>
        <w:t xml:space="preserve">have the </w:t>
      </w:r>
      <w:r w:rsidR="00EF556B" w:rsidRPr="003A78F3">
        <w:rPr>
          <w:lang w:val="en-GB"/>
        </w:rPr>
        <w:t xml:space="preserve">treasury </w:t>
      </w:r>
      <w:r w:rsidR="00622566" w:rsidRPr="003A78F3">
        <w:rPr>
          <w:lang w:val="en-GB"/>
        </w:rPr>
        <w:t xml:space="preserve">information system </w:t>
      </w:r>
      <w:r w:rsidR="00EF556B" w:rsidRPr="003A78F3">
        <w:rPr>
          <w:lang w:val="en-GB"/>
        </w:rPr>
        <w:t>in place</w:t>
      </w:r>
      <w:r w:rsidR="00622566" w:rsidRPr="003A78F3">
        <w:rPr>
          <w:lang w:val="en-GB"/>
        </w:rPr>
        <w:t xml:space="preserve">. PARCO </w:t>
      </w:r>
      <w:r w:rsidR="00EF556B" w:rsidRPr="003A78F3">
        <w:rPr>
          <w:lang w:val="en-GB"/>
        </w:rPr>
        <w:t xml:space="preserve">has </w:t>
      </w:r>
      <w:r w:rsidR="00622566" w:rsidRPr="003A78F3">
        <w:rPr>
          <w:lang w:val="en-GB"/>
        </w:rPr>
        <w:t xml:space="preserve">initiated the project </w:t>
      </w:r>
      <w:r w:rsidR="00EF556B" w:rsidRPr="003A78F3">
        <w:rPr>
          <w:lang w:val="en-GB"/>
        </w:rPr>
        <w:t>“</w:t>
      </w:r>
      <w:r w:rsidR="00622566" w:rsidRPr="003A78F3">
        <w:rPr>
          <w:lang w:val="en-GB"/>
        </w:rPr>
        <w:t xml:space="preserve">Treasury Information System of the </w:t>
      </w:r>
      <w:r w:rsidR="00B94524" w:rsidRPr="003A78F3">
        <w:rPr>
          <w:lang w:val="en-GB"/>
        </w:rPr>
        <w:t>Brčko</w:t>
      </w:r>
      <w:r w:rsidR="00622566" w:rsidRPr="003A78F3">
        <w:rPr>
          <w:lang w:val="en-GB"/>
        </w:rPr>
        <w:t xml:space="preserve"> District of BiH</w:t>
      </w:r>
      <w:r w:rsidR="00EF556B" w:rsidRPr="003A78F3">
        <w:rPr>
          <w:lang w:val="en-GB"/>
        </w:rPr>
        <w:t>”</w:t>
      </w:r>
      <w:r w:rsidR="00622566" w:rsidRPr="003A78F3">
        <w:rPr>
          <w:lang w:val="en-GB"/>
        </w:rPr>
        <w:t xml:space="preserve">, which is </w:t>
      </w:r>
      <w:r w:rsidR="00EF556B" w:rsidRPr="003A78F3">
        <w:rPr>
          <w:lang w:val="en-GB"/>
        </w:rPr>
        <w:t xml:space="preserve">currently </w:t>
      </w:r>
      <w:r w:rsidR="00622566" w:rsidRPr="003A78F3">
        <w:rPr>
          <w:lang w:val="en-GB"/>
        </w:rPr>
        <w:t>in the public procurement</w:t>
      </w:r>
      <w:r w:rsidR="00EF556B" w:rsidRPr="003A78F3">
        <w:rPr>
          <w:lang w:val="en-GB"/>
        </w:rPr>
        <w:t xml:space="preserve"> procedure</w:t>
      </w:r>
      <w:r w:rsidR="00622566" w:rsidRPr="003A78F3">
        <w:rPr>
          <w:lang w:val="en-GB"/>
        </w:rPr>
        <w:t>.</w:t>
      </w:r>
    </w:p>
    <w:p w:rsidR="00A97C31" w:rsidRDefault="00A97C31" w:rsidP="00403657">
      <w:pPr>
        <w:spacing w:line="240" w:lineRule="auto"/>
        <w:rPr>
          <w:sz w:val="16"/>
          <w:szCs w:val="16"/>
          <w:lang w:val="en-GB"/>
        </w:rPr>
      </w:pPr>
    </w:p>
    <w:p w:rsidR="002B40F7" w:rsidRDefault="002B40F7" w:rsidP="00403657">
      <w:pPr>
        <w:spacing w:line="240" w:lineRule="auto"/>
        <w:rPr>
          <w:sz w:val="16"/>
          <w:szCs w:val="16"/>
          <w:lang w:val="en-GB"/>
        </w:rPr>
      </w:pPr>
    </w:p>
    <w:p w:rsidR="002B40F7" w:rsidRDefault="002B40F7" w:rsidP="00403657">
      <w:pPr>
        <w:spacing w:line="240" w:lineRule="auto"/>
        <w:rPr>
          <w:sz w:val="16"/>
          <w:szCs w:val="16"/>
          <w:lang w:val="en-GB"/>
        </w:rPr>
      </w:pPr>
    </w:p>
    <w:p w:rsidR="002B40F7" w:rsidRPr="003A78F3" w:rsidRDefault="002B40F7" w:rsidP="00403657">
      <w:pPr>
        <w:spacing w:line="240" w:lineRule="auto"/>
        <w:rPr>
          <w:sz w:val="16"/>
          <w:szCs w:val="16"/>
          <w:lang w:val="en-GB"/>
        </w:rPr>
      </w:pPr>
    </w:p>
    <w:p w:rsidR="00A97C31" w:rsidRPr="003A78F3" w:rsidRDefault="00622566" w:rsidP="00403657">
      <w:pPr>
        <w:spacing w:line="240" w:lineRule="auto"/>
        <w:rPr>
          <w:b/>
          <w:bCs/>
          <w:lang w:val="en-GB"/>
        </w:rPr>
      </w:pPr>
      <w:r w:rsidRPr="003A78F3">
        <w:rPr>
          <w:b/>
          <w:bCs/>
          <w:lang w:val="en-GB"/>
        </w:rPr>
        <w:lastRenderedPageBreak/>
        <w:t xml:space="preserve">3. </w:t>
      </w:r>
      <w:r w:rsidR="002C48EA" w:rsidRPr="003A78F3">
        <w:rPr>
          <w:b/>
          <w:bCs/>
          <w:lang w:val="en-GB"/>
        </w:rPr>
        <w:t>Introduction of PIFC in full compliance with EU requirements</w:t>
      </w:r>
    </w:p>
    <w:p w:rsidR="00A97C31" w:rsidRPr="003A78F3" w:rsidRDefault="00622566" w:rsidP="00403657">
      <w:pPr>
        <w:spacing w:line="240" w:lineRule="auto"/>
        <w:jc w:val="both"/>
        <w:rPr>
          <w:b/>
          <w:bCs/>
          <w:lang w:val="en-GB"/>
        </w:rPr>
      </w:pPr>
      <w:r w:rsidRPr="003A78F3">
        <w:rPr>
          <w:b/>
          <w:bCs/>
          <w:lang w:val="en-GB"/>
        </w:rPr>
        <w:t xml:space="preserve">Recommendation: The </w:t>
      </w:r>
      <w:r w:rsidR="0093637C" w:rsidRPr="003A78F3">
        <w:rPr>
          <w:b/>
          <w:bCs/>
          <w:lang w:val="en-GB"/>
        </w:rPr>
        <w:t>objective</w:t>
      </w:r>
      <w:r w:rsidRPr="003A78F3">
        <w:rPr>
          <w:b/>
          <w:bCs/>
          <w:lang w:val="en-GB"/>
        </w:rPr>
        <w:t xml:space="preserve"> of introducing </w:t>
      </w:r>
      <w:r w:rsidR="00D811A0" w:rsidRPr="003A78F3">
        <w:rPr>
          <w:b/>
          <w:bCs/>
          <w:lang w:val="en-GB"/>
        </w:rPr>
        <w:t>PIFC</w:t>
      </w:r>
      <w:r w:rsidRPr="003A78F3">
        <w:rPr>
          <w:b/>
          <w:bCs/>
          <w:lang w:val="en-GB"/>
        </w:rPr>
        <w:t xml:space="preserve"> in </w:t>
      </w:r>
      <w:r w:rsidR="0093637C" w:rsidRPr="003A78F3">
        <w:rPr>
          <w:b/>
          <w:bCs/>
          <w:lang w:val="en-GB"/>
        </w:rPr>
        <w:t>full compliance</w:t>
      </w:r>
      <w:r w:rsidRPr="003A78F3">
        <w:rPr>
          <w:b/>
          <w:bCs/>
          <w:lang w:val="en-GB"/>
        </w:rPr>
        <w:t xml:space="preserve"> with the relevant EU </w:t>
      </w:r>
      <w:r w:rsidR="004B732A" w:rsidRPr="003A78F3">
        <w:rPr>
          <w:b/>
          <w:bCs/>
          <w:lang w:val="en-GB"/>
        </w:rPr>
        <w:t>requirements has not been</w:t>
      </w:r>
      <w:r w:rsidRPr="003A78F3">
        <w:rPr>
          <w:b/>
          <w:bCs/>
          <w:lang w:val="en-GB"/>
        </w:rPr>
        <w:t xml:space="preserve"> reached within the timeframe </w:t>
      </w:r>
      <w:r w:rsidR="004B732A" w:rsidRPr="003A78F3">
        <w:rPr>
          <w:b/>
          <w:bCs/>
          <w:lang w:val="en-GB"/>
        </w:rPr>
        <w:t>defined under</w:t>
      </w:r>
      <w:r w:rsidRPr="003A78F3">
        <w:rPr>
          <w:b/>
          <w:bCs/>
          <w:lang w:val="en-GB"/>
        </w:rPr>
        <w:t xml:space="preserve"> the Strategy. All levels of government need to continue to work on </w:t>
      </w:r>
      <w:r w:rsidR="004B732A" w:rsidRPr="003A78F3">
        <w:rPr>
          <w:b/>
          <w:bCs/>
          <w:lang w:val="en-GB"/>
        </w:rPr>
        <w:t>a comprehensive</w:t>
      </w:r>
      <w:r w:rsidRPr="003A78F3">
        <w:rPr>
          <w:b/>
          <w:bCs/>
          <w:lang w:val="en-GB"/>
        </w:rPr>
        <w:t xml:space="preserve"> development of PIFC </w:t>
      </w:r>
      <w:r w:rsidR="004B732A" w:rsidRPr="003A78F3">
        <w:rPr>
          <w:b/>
          <w:bCs/>
          <w:lang w:val="en-GB"/>
        </w:rPr>
        <w:t>because, along with</w:t>
      </w:r>
      <w:r w:rsidRPr="003A78F3">
        <w:rPr>
          <w:b/>
          <w:bCs/>
          <w:lang w:val="en-GB"/>
        </w:rPr>
        <w:t xml:space="preserve"> </w:t>
      </w:r>
      <w:r w:rsidR="00182285" w:rsidRPr="003A78F3">
        <w:rPr>
          <w:b/>
          <w:bCs/>
          <w:lang w:val="en-GB"/>
        </w:rPr>
        <w:t xml:space="preserve">ensuring </w:t>
      </w:r>
      <w:r w:rsidRPr="003A78F3">
        <w:rPr>
          <w:b/>
          <w:bCs/>
          <w:lang w:val="en-GB"/>
        </w:rPr>
        <w:t xml:space="preserve">legality and </w:t>
      </w:r>
      <w:r w:rsidR="004E4346" w:rsidRPr="003A78F3">
        <w:rPr>
          <w:b/>
          <w:bCs/>
          <w:lang w:val="en-GB"/>
        </w:rPr>
        <w:t>compliance in the</w:t>
      </w:r>
      <w:r w:rsidRPr="003A78F3">
        <w:rPr>
          <w:b/>
          <w:bCs/>
          <w:lang w:val="en-GB"/>
        </w:rPr>
        <w:t xml:space="preserve"> expenditure of funds</w:t>
      </w:r>
      <w:r w:rsidR="004B732A" w:rsidRPr="003A78F3">
        <w:rPr>
          <w:b/>
          <w:bCs/>
          <w:lang w:val="en-GB"/>
        </w:rPr>
        <w:t>, it is</w:t>
      </w:r>
      <w:r w:rsidRPr="003A78F3">
        <w:rPr>
          <w:b/>
          <w:bCs/>
          <w:lang w:val="en-GB"/>
        </w:rPr>
        <w:t xml:space="preserve"> </w:t>
      </w:r>
      <w:r w:rsidR="004E4346" w:rsidRPr="003A78F3">
        <w:rPr>
          <w:b/>
          <w:bCs/>
          <w:lang w:val="en-GB"/>
        </w:rPr>
        <w:t>also essential</w:t>
      </w:r>
      <w:r w:rsidRPr="003A78F3">
        <w:rPr>
          <w:b/>
          <w:bCs/>
          <w:lang w:val="en-GB"/>
        </w:rPr>
        <w:t xml:space="preserve"> to achieve </w:t>
      </w:r>
      <w:r w:rsidR="00D811A0" w:rsidRPr="003A78F3">
        <w:rPr>
          <w:b/>
          <w:bCs/>
          <w:lang w:val="en-GB"/>
        </w:rPr>
        <w:t>prudence</w:t>
      </w:r>
      <w:r w:rsidRPr="003A78F3">
        <w:rPr>
          <w:b/>
          <w:bCs/>
          <w:lang w:val="en-GB"/>
        </w:rPr>
        <w:t>, efficiency and effectiveness in the management of public budgetary resources.</w:t>
      </w:r>
    </w:p>
    <w:p w:rsidR="00A97C31" w:rsidRPr="003A78F3" w:rsidRDefault="0022529D" w:rsidP="00403657">
      <w:pPr>
        <w:spacing w:line="240" w:lineRule="auto"/>
        <w:jc w:val="both"/>
        <w:rPr>
          <w:lang w:val="en-GB"/>
        </w:rPr>
      </w:pPr>
      <w:r w:rsidRPr="003A78F3">
        <w:rPr>
          <w:b/>
          <w:bCs/>
          <w:lang w:val="en-GB"/>
        </w:rPr>
        <w:t>Rationale</w:t>
      </w:r>
      <w:r w:rsidR="00622566" w:rsidRPr="003A78F3">
        <w:rPr>
          <w:b/>
          <w:bCs/>
          <w:lang w:val="en-GB"/>
        </w:rPr>
        <w:t xml:space="preserve">: </w:t>
      </w:r>
      <w:r w:rsidR="00622566" w:rsidRPr="003A78F3">
        <w:rPr>
          <w:lang w:val="en-GB"/>
        </w:rPr>
        <w:t>Central Harmonisation Unit</w:t>
      </w:r>
      <w:r w:rsidR="004E4346" w:rsidRPr="003A78F3">
        <w:rPr>
          <w:lang w:val="en-GB"/>
        </w:rPr>
        <w:t>s</w:t>
      </w:r>
      <w:r w:rsidR="00622566" w:rsidRPr="003A78F3">
        <w:rPr>
          <w:lang w:val="en-GB"/>
        </w:rPr>
        <w:t xml:space="preserve"> (CHU</w:t>
      </w:r>
      <w:r w:rsidR="004E4346" w:rsidRPr="003A78F3">
        <w:rPr>
          <w:lang w:val="en-GB"/>
        </w:rPr>
        <w:t>s</w:t>
      </w:r>
      <w:r w:rsidR="00622566" w:rsidRPr="003A78F3">
        <w:rPr>
          <w:lang w:val="en-GB"/>
        </w:rPr>
        <w:t xml:space="preserve">) </w:t>
      </w:r>
      <w:r w:rsidR="004E4346" w:rsidRPr="003A78F3">
        <w:rPr>
          <w:lang w:val="en-GB"/>
        </w:rPr>
        <w:t xml:space="preserve">have been established </w:t>
      </w:r>
      <w:r w:rsidR="00622566" w:rsidRPr="003A78F3">
        <w:rPr>
          <w:lang w:val="en-GB"/>
        </w:rPr>
        <w:t>at the level</w:t>
      </w:r>
      <w:r w:rsidR="004E4346" w:rsidRPr="003A78F3">
        <w:rPr>
          <w:lang w:val="en-GB"/>
        </w:rPr>
        <w:t>s</w:t>
      </w:r>
      <w:r w:rsidR="00622566" w:rsidRPr="003A78F3">
        <w:rPr>
          <w:lang w:val="en-GB"/>
        </w:rPr>
        <w:t xml:space="preserve"> of BiH, RS and FBiH. The </w:t>
      </w:r>
      <w:r w:rsidR="004E4346" w:rsidRPr="003A78F3">
        <w:rPr>
          <w:lang w:val="en-GB"/>
        </w:rPr>
        <w:t xml:space="preserve">PIFC Development </w:t>
      </w:r>
      <w:r w:rsidR="00622566" w:rsidRPr="003A78F3">
        <w:rPr>
          <w:lang w:val="en-GB"/>
        </w:rPr>
        <w:t xml:space="preserve">Strategy </w:t>
      </w:r>
      <w:r w:rsidR="004E4346" w:rsidRPr="003A78F3">
        <w:rPr>
          <w:lang w:val="en-GB"/>
        </w:rPr>
        <w:t>has been adopted</w:t>
      </w:r>
      <w:r w:rsidR="00622566" w:rsidRPr="003A78F3">
        <w:rPr>
          <w:lang w:val="en-GB"/>
        </w:rPr>
        <w:t xml:space="preserve"> in</w:t>
      </w:r>
      <w:r w:rsidR="004E4346" w:rsidRPr="003A78F3">
        <w:rPr>
          <w:lang w:val="en-GB"/>
        </w:rPr>
        <w:t xml:space="preserve"> the</w:t>
      </w:r>
      <w:r w:rsidR="00622566" w:rsidRPr="003A78F3">
        <w:rPr>
          <w:lang w:val="en-GB"/>
        </w:rPr>
        <w:t xml:space="preserve"> </w:t>
      </w:r>
      <w:r w:rsidR="00B94524" w:rsidRPr="003A78F3">
        <w:rPr>
          <w:lang w:val="en-GB"/>
        </w:rPr>
        <w:t>Brčko</w:t>
      </w:r>
      <w:r w:rsidR="00622566" w:rsidRPr="003A78F3">
        <w:rPr>
          <w:lang w:val="en-GB"/>
        </w:rPr>
        <w:t xml:space="preserve"> District. Internal auditors have </w:t>
      </w:r>
      <w:r w:rsidR="004E4346" w:rsidRPr="003A78F3">
        <w:rPr>
          <w:lang w:val="en-GB"/>
        </w:rPr>
        <w:t>received</w:t>
      </w:r>
      <w:r w:rsidR="00622566" w:rsidRPr="003A78F3">
        <w:rPr>
          <w:lang w:val="en-GB"/>
        </w:rPr>
        <w:t xml:space="preserve"> comprehensive training </w:t>
      </w:r>
      <w:r w:rsidR="004E4346" w:rsidRPr="003A78F3">
        <w:rPr>
          <w:lang w:val="en-GB"/>
        </w:rPr>
        <w:t>organised under</w:t>
      </w:r>
      <w:r w:rsidR="00622566" w:rsidRPr="003A78F3">
        <w:rPr>
          <w:lang w:val="en-GB"/>
        </w:rPr>
        <w:t xml:space="preserve"> the project </w:t>
      </w:r>
      <w:r w:rsidR="004E4346" w:rsidRPr="003A78F3">
        <w:rPr>
          <w:lang w:val="en-GB"/>
        </w:rPr>
        <w:t>“</w:t>
      </w:r>
      <w:r w:rsidR="00622566" w:rsidRPr="003A78F3">
        <w:rPr>
          <w:lang w:val="en-GB"/>
        </w:rPr>
        <w:t>Strengthening Public Expenditure Management</w:t>
      </w:r>
      <w:r w:rsidR="004E4346" w:rsidRPr="003A78F3">
        <w:rPr>
          <w:lang w:val="en-GB"/>
        </w:rPr>
        <w:t>”</w:t>
      </w:r>
      <w:r w:rsidR="00622566" w:rsidRPr="003A78F3">
        <w:rPr>
          <w:lang w:val="en-GB"/>
        </w:rPr>
        <w:t xml:space="preserve">, which is financed from IPA 2010. </w:t>
      </w:r>
      <w:r w:rsidR="00EC4BA7" w:rsidRPr="003A78F3">
        <w:rPr>
          <w:lang w:val="en-GB"/>
        </w:rPr>
        <w:t>Laws and implementing regulations</w:t>
      </w:r>
      <w:r w:rsidR="00622566" w:rsidRPr="003A78F3">
        <w:rPr>
          <w:lang w:val="en-GB"/>
        </w:rPr>
        <w:t xml:space="preserve"> </w:t>
      </w:r>
      <w:r w:rsidR="00EC4BA7" w:rsidRPr="003A78F3">
        <w:rPr>
          <w:lang w:val="en-GB"/>
        </w:rPr>
        <w:t>in the field of internal audit are in place</w:t>
      </w:r>
      <w:r w:rsidR="00622566" w:rsidRPr="003A78F3">
        <w:rPr>
          <w:lang w:val="en-GB"/>
        </w:rPr>
        <w:t xml:space="preserve"> at all levels</w:t>
      </w:r>
      <w:r w:rsidR="00EC4BA7" w:rsidRPr="003A78F3">
        <w:rPr>
          <w:lang w:val="en-GB"/>
        </w:rPr>
        <w:t>,</w:t>
      </w:r>
      <w:r w:rsidR="00622566" w:rsidRPr="003A78F3">
        <w:rPr>
          <w:lang w:val="en-GB"/>
        </w:rPr>
        <w:t xml:space="preserve"> but given that </w:t>
      </w:r>
      <w:r w:rsidR="00EC4BA7" w:rsidRPr="003A78F3">
        <w:rPr>
          <w:lang w:val="en-GB"/>
        </w:rPr>
        <w:t xml:space="preserve">most of them were </w:t>
      </w:r>
      <w:r w:rsidR="00622566" w:rsidRPr="003A78F3">
        <w:rPr>
          <w:lang w:val="en-GB"/>
        </w:rPr>
        <w:t xml:space="preserve">adopted in 2008, </w:t>
      </w:r>
      <w:r w:rsidR="00EC4BA7" w:rsidRPr="003A78F3">
        <w:rPr>
          <w:lang w:val="en-GB"/>
        </w:rPr>
        <w:t>it is necessary to make some amendments to the</w:t>
      </w:r>
      <w:r w:rsidR="00622566" w:rsidRPr="003A78F3">
        <w:rPr>
          <w:lang w:val="en-GB"/>
        </w:rPr>
        <w:t xml:space="preserve"> law</w:t>
      </w:r>
      <w:r w:rsidR="00EC4BA7" w:rsidRPr="003A78F3">
        <w:rPr>
          <w:lang w:val="en-GB"/>
        </w:rPr>
        <w:t>s</w:t>
      </w:r>
      <w:r w:rsidR="00622566" w:rsidRPr="003A78F3">
        <w:rPr>
          <w:lang w:val="en-GB"/>
        </w:rPr>
        <w:t xml:space="preserve"> at all levels of government </w:t>
      </w:r>
      <w:r w:rsidR="00EC4BA7" w:rsidRPr="003A78F3">
        <w:rPr>
          <w:lang w:val="en-GB"/>
        </w:rPr>
        <w:t>in</w:t>
      </w:r>
      <w:r w:rsidR="00622566" w:rsidRPr="003A78F3">
        <w:rPr>
          <w:lang w:val="en-GB"/>
        </w:rPr>
        <w:t xml:space="preserve"> 2015.</w:t>
      </w:r>
    </w:p>
    <w:p w:rsidR="00A97C31" w:rsidRPr="003A78F3" w:rsidRDefault="00622566" w:rsidP="00403657">
      <w:pPr>
        <w:spacing w:line="240" w:lineRule="auto"/>
        <w:jc w:val="both"/>
        <w:rPr>
          <w:lang w:val="en-GB"/>
        </w:rPr>
      </w:pPr>
      <w:r w:rsidRPr="003A78F3">
        <w:rPr>
          <w:lang w:val="en-GB"/>
        </w:rPr>
        <w:t xml:space="preserve">CHU BiH has published on its website consolidated annual internal audit reports for 2011, 2012 and 2013. CHU FBiH </w:t>
      </w:r>
      <w:r w:rsidR="00EC4BA7" w:rsidRPr="003A78F3">
        <w:rPr>
          <w:lang w:val="en-GB"/>
        </w:rPr>
        <w:t>has published</w:t>
      </w:r>
      <w:r w:rsidRPr="003A78F3">
        <w:rPr>
          <w:lang w:val="en-GB"/>
        </w:rPr>
        <w:t xml:space="preserve"> on its website four </w:t>
      </w:r>
      <w:r w:rsidR="00EC4BA7" w:rsidRPr="003A78F3">
        <w:rPr>
          <w:lang w:val="en-GB"/>
        </w:rPr>
        <w:t xml:space="preserve">consolidated </w:t>
      </w:r>
      <w:r w:rsidRPr="003A78F3">
        <w:rPr>
          <w:lang w:val="en-GB"/>
        </w:rPr>
        <w:t>annual report</w:t>
      </w:r>
      <w:r w:rsidR="00EC4BA7" w:rsidRPr="003A78F3">
        <w:rPr>
          <w:lang w:val="en-GB"/>
        </w:rPr>
        <w:t>s</w:t>
      </w:r>
      <w:r w:rsidRPr="003A78F3">
        <w:rPr>
          <w:lang w:val="en-GB"/>
        </w:rPr>
        <w:t xml:space="preserve"> on the state of internal audit for 2011, 2012, 2013. </w:t>
      </w:r>
      <w:r w:rsidR="00EC4BA7" w:rsidRPr="003A78F3">
        <w:rPr>
          <w:lang w:val="en-GB"/>
        </w:rPr>
        <w:t>T</w:t>
      </w:r>
      <w:r w:rsidRPr="003A78F3">
        <w:rPr>
          <w:lang w:val="en-GB"/>
        </w:rPr>
        <w:t xml:space="preserve">he website of CHU </w:t>
      </w:r>
      <w:r w:rsidR="00EC4BA7" w:rsidRPr="003A78F3">
        <w:rPr>
          <w:lang w:val="en-GB"/>
        </w:rPr>
        <w:t>RS contains</w:t>
      </w:r>
      <w:r w:rsidRPr="003A78F3">
        <w:rPr>
          <w:lang w:val="en-GB"/>
        </w:rPr>
        <w:t xml:space="preserve"> only </w:t>
      </w:r>
      <w:r w:rsidR="00EC4BA7" w:rsidRPr="003A78F3">
        <w:rPr>
          <w:lang w:val="en-GB"/>
        </w:rPr>
        <w:t xml:space="preserve">the </w:t>
      </w:r>
      <w:r w:rsidRPr="003A78F3">
        <w:rPr>
          <w:lang w:val="en-GB"/>
        </w:rPr>
        <w:t xml:space="preserve">consolidated </w:t>
      </w:r>
      <w:r w:rsidR="00EC4BA7" w:rsidRPr="003A78F3">
        <w:rPr>
          <w:lang w:val="en-GB"/>
        </w:rPr>
        <w:t xml:space="preserve">internal financial control </w:t>
      </w:r>
      <w:r w:rsidRPr="003A78F3">
        <w:rPr>
          <w:lang w:val="en-GB"/>
        </w:rPr>
        <w:t xml:space="preserve">report for 2011, which does not contribute to </w:t>
      </w:r>
      <w:r w:rsidR="00BD5520" w:rsidRPr="003A78F3">
        <w:rPr>
          <w:lang w:val="en-GB"/>
        </w:rPr>
        <w:t xml:space="preserve">CHU’s </w:t>
      </w:r>
      <w:r w:rsidRPr="003A78F3">
        <w:rPr>
          <w:lang w:val="en-GB"/>
        </w:rPr>
        <w:t>transparency.</w:t>
      </w:r>
    </w:p>
    <w:p w:rsidR="00A97C31" w:rsidRPr="00BD5520" w:rsidRDefault="00A97C31" w:rsidP="00403657">
      <w:pPr>
        <w:spacing w:line="240" w:lineRule="auto"/>
        <w:jc w:val="both"/>
        <w:rPr>
          <w:sz w:val="2"/>
          <w:szCs w:val="2"/>
          <w:lang w:val="en-GB"/>
        </w:rPr>
      </w:pPr>
    </w:p>
    <w:p w:rsidR="00A97C31" w:rsidRPr="003A78F3" w:rsidRDefault="00622566" w:rsidP="00403657">
      <w:pPr>
        <w:spacing w:line="240" w:lineRule="auto"/>
        <w:rPr>
          <w:b/>
          <w:bCs/>
          <w:lang w:val="en-GB"/>
        </w:rPr>
      </w:pPr>
      <w:r w:rsidRPr="003A78F3">
        <w:rPr>
          <w:b/>
          <w:bCs/>
          <w:lang w:val="en-GB"/>
        </w:rPr>
        <w:t xml:space="preserve">4. </w:t>
      </w:r>
      <w:r w:rsidR="002C48EA" w:rsidRPr="003A78F3">
        <w:rPr>
          <w:b/>
          <w:bCs/>
          <w:lang w:val="en-GB"/>
        </w:rPr>
        <w:t>Improving the organisational structure and investing in capacity-building</w:t>
      </w:r>
    </w:p>
    <w:p w:rsidR="00A97C31" w:rsidRPr="003A78F3" w:rsidRDefault="00622566" w:rsidP="00403657">
      <w:pPr>
        <w:spacing w:line="240" w:lineRule="auto"/>
        <w:jc w:val="both"/>
        <w:rPr>
          <w:b/>
          <w:bCs/>
          <w:lang w:val="en-GB"/>
        </w:rPr>
      </w:pPr>
      <w:r w:rsidRPr="003A78F3">
        <w:rPr>
          <w:b/>
          <w:bCs/>
          <w:lang w:val="en-GB"/>
        </w:rPr>
        <w:t xml:space="preserve">Recommendation: </w:t>
      </w:r>
      <w:r w:rsidR="00EC4BA7" w:rsidRPr="003A78F3">
        <w:rPr>
          <w:b/>
          <w:bCs/>
          <w:lang w:val="en-GB"/>
        </w:rPr>
        <w:t xml:space="preserve">It is necessary to </w:t>
      </w:r>
      <w:r w:rsidR="00A534FA" w:rsidRPr="003A78F3">
        <w:rPr>
          <w:b/>
          <w:bCs/>
          <w:lang w:val="en-GB"/>
        </w:rPr>
        <w:t xml:space="preserve">make </w:t>
      </w:r>
      <w:r w:rsidRPr="003A78F3">
        <w:rPr>
          <w:b/>
          <w:bCs/>
          <w:lang w:val="en-GB"/>
        </w:rPr>
        <w:t>plan</w:t>
      </w:r>
      <w:r w:rsidR="00A534FA" w:rsidRPr="003A78F3">
        <w:rPr>
          <w:b/>
          <w:bCs/>
          <w:lang w:val="en-GB"/>
        </w:rPr>
        <w:t>s</w:t>
      </w:r>
      <w:r w:rsidR="00EC4BA7" w:rsidRPr="003A78F3">
        <w:rPr>
          <w:b/>
          <w:bCs/>
          <w:lang w:val="en-GB"/>
        </w:rPr>
        <w:t>, systematically and on a continuing basis,</w:t>
      </w:r>
      <w:r w:rsidR="00E712FD" w:rsidRPr="003A78F3">
        <w:rPr>
          <w:b/>
          <w:bCs/>
          <w:lang w:val="en-GB"/>
        </w:rPr>
        <w:t xml:space="preserve"> for capacity-</w:t>
      </w:r>
      <w:r w:rsidRPr="003A78F3">
        <w:rPr>
          <w:b/>
          <w:bCs/>
          <w:lang w:val="en-GB"/>
        </w:rPr>
        <w:t xml:space="preserve">building in the </w:t>
      </w:r>
      <w:r w:rsidR="00BD5520" w:rsidRPr="003A78F3">
        <w:rPr>
          <w:b/>
          <w:bCs/>
          <w:lang w:val="en-GB"/>
        </w:rPr>
        <w:t>ministries of finance</w:t>
      </w:r>
      <w:r w:rsidRPr="003A78F3">
        <w:rPr>
          <w:b/>
          <w:bCs/>
          <w:lang w:val="en-GB"/>
        </w:rPr>
        <w:t>,</w:t>
      </w:r>
      <w:r w:rsidR="00A534FA" w:rsidRPr="003A78F3">
        <w:rPr>
          <w:b/>
          <w:bCs/>
          <w:lang w:val="en-GB"/>
        </w:rPr>
        <w:t xml:space="preserve"> as well as</w:t>
      </w:r>
      <w:r w:rsidRPr="003A78F3">
        <w:rPr>
          <w:b/>
          <w:bCs/>
          <w:lang w:val="en-GB"/>
        </w:rPr>
        <w:t xml:space="preserve"> the number of training</w:t>
      </w:r>
      <w:r w:rsidR="00A534FA" w:rsidRPr="003A78F3">
        <w:rPr>
          <w:b/>
          <w:bCs/>
          <w:lang w:val="en-GB"/>
        </w:rPr>
        <w:t xml:space="preserve"> sessions</w:t>
      </w:r>
      <w:r w:rsidRPr="003A78F3">
        <w:rPr>
          <w:b/>
          <w:bCs/>
          <w:lang w:val="en-GB"/>
        </w:rPr>
        <w:t xml:space="preserve"> and number of participants</w:t>
      </w:r>
      <w:r w:rsidR="00A534FA" w:rsidRPr="003A78F3">
        <w:rPr>
          <w:b/>
          <w:bCs/>
          <w:lang w:val="en-GB"/>
        </w:rPr>
        <w:t>;</w:t>
      </w:r>
      <w:r w:rsidRPr="003A78F3">
        <w:rPr>
          <w:b/>
          <w:bCs/>
          <w:lang w:val="en-GB"/>
        </w:rPr>
        <w:t xml:space="preserve"> </w:t>
      </w:r>
      <w:r w:rsidR="00A534FA" w:rsidRPr="003A78F3">
        <w:rPr>
          <w:b/>
          <w:bCs/>
          <w:lang w:val="en-GB"/>
        </w:rPr>
        <w:t>in</w:t>
      </w:r>
      <w:r w:rsidRPr="003A78F3">
        <w:rPr>
          <w:b/>
          <w:bCs/>
          <w:lang w:val="en-GB"/>
        </w:rPr>
        <w:t xml:space="preserve"> 2015 </w:t>
      </w:r>
      <w:r w:rsidR="00A534FA" w:rsidRPr="003A78F3">
        <w:rPr>
          <w:b/>
          <w:bCs/>
          <w:lang w:val="en-GB"/>
        </w:rPr>
        <w:t xml:space="preserve">it is necessary </w:t>
      </w:r>
      <w:r w:rsidRPr="003A78F3">
        <w:rPr>
          <w:b/>
          <w:bCs/>
          <w:lang w:val="en-GB"/>
        </w:rPr>
        <w:t xml:space="preserve">to </w:t>
      </w:r>
      <w:r w:rsidR="00BD5520">
        <w:rPr>
          <w:b/>
          <w:bCs/>
          <w:lang w:val="en-GB"/>
        </w:rPr>
        <w:t>fill the</w:t>
      </w:r>
      <w:r w:rsidRPr="003A78F3">
        <w:rPr>
          <w:b/>
          <w:bCs/>
          <w:lang w:val="en-GB"/>
        </w:rPr>
        <w:t xml:space="preserve"> </w:t>
      </w:r>
      <w:r w:rsidR="00BD5520">
        <w:rPr>
          <w:b/>
          <w:bCs/>
          <w:lang w:val="en-GB"/>
        </w:rPr>
        <w:t xml:space="preserve">remaining positions as envisaged by </w:t>
      </w:r>
      <w:r w:rsidRPr="003A78F3">
        <w:rPr>
          <w:b/>
          <w:bCs/>
          <w:lang w:val="en-GB"/>
        </w:rPr>
        <w:t xml:space="preserve">the adopted </w:t>
      </w:r>
      <w:r w:rsidR="00A534FA" w:rsidRPr="003A78F3">
        <w:rPr>
          <w:b/>
          <w:bCs/>
          <w:lang w:val="en-GB"/>
        </w:rPr>
        <w:t>staffing plans</w:t>
      </w:r>
      <w:r w:rsidRPr="003A78F3">
        <w:rPr>
          <w:b/>
          <w:bCs/>
          <w:lang w:val="en-GB"/>
        </w:rPr>
        <w:t>.</w:t>
      </w:r>
    </w:p>
    <w:p w:rsidR="00A97C31" w:rsidRPr="003A78F3" w:rsidRDefault="0022529D" w:rsidP="00403657">
      <w:pPr>
        <w:spacing w:line="240" w:lineRule="auto"/>
        <w:jc w:val="both"/>
        <w:rPr>
          <w:lang w:val="en-GB"/>
        </w:rPr>
      </w:pPr>
      <w:r w:rsidRPr="003A78F3">
        <w:rPr>
          <w:b/>
          <w:bCs/>
          <w:lang w:val="en-GB"/>
        </w:rPr>
        <w:t>Rationale</w:t>
      </w:r>
      <w:r w:rsidR="00622566" w:rsidRPr="003A78F3">
        <w:rPr>
          <w:b/>
          <w:bCs/>
          <w:lang w:val="en-GB"/>
        </w:rPr>
        <w:t xml:space="preserve">: </w:t>
      </w:r>
      <w:r w:rsidR="00622566" w:rsidRPr="003A78F3">
        <w:rPr>
          <w:lang w:val="en-GB"/>
        </w:rPr>
        <w:t>Significant progress has been made in improving the organi</w:t>
      </w:r>
      <w:r w:rsidR="00E712FD" w:rsidRPr="003A78F3">
        <w:rPr>
          <w:lang w:val="en-GB"/>
        </w:rPr>
        <w:t>s</w:t>
      </w:r>
      <w:r w:rsidR="00622566" w:rsidRPr="003A78F3">
        <w:rPr>
          <w:lang w:val="en-GB"/>
        </w:rPr>
        <w:t>ational stru</w:t>
      </w:r>
      <w:r w:rsidR="00E712FD" w:rsidRPr="003A78F3">
        <w:rPr>
          <w:lang w:val="en-GB"/>
        </w:rPr>
        <w:t>cture and investing in capacity-</w:t>
      </w:r>
      <w:r w:rsidR="00622566" w:rsidRPr="003A78F3">
        <w:rPr>
          <w:lang w:val="en-GB"/>
        </w:rPr>
        <w:t xml:space="preserve">building in the </w:t>
      </w:r>
      <w:r w:rsidR="00E712FD" w:rsidRPr="003A78F3">
        <w:rPr>
          <w:lang w:val="en-GB"/>
        </w:rPr>
        <w:t xml:space="preserve">ministries of finance </w:t>
      </w:r>
      <w:r w:rsidR="00622566" w:rsidRPr="003A78F3">
        <w:rPr>
          <w:lang w:val="en-GB"/>
        </w:rPr>
        <w:t xml:space="preserve">at all levels of government. </w:t>
      </w:r>
      <w:r w:rsidR="00E712FD" w:rsidRPr="003A78F3">
        <w:rPr>
          <w:lang w:val="en-GB"/>
        </w:rPr>
        <w:t>T</w:t>
      </w:r>
      <w:r w:rsidR="00622566" w:rsidRPr="003A78F3">
        <w:rPr>
          <w:lang w:val="en-GB"/>
        </w:rPr>
        <w:t>raining</w:t>
      </w:r>
      <w:r w:rsidR="00E712FD" w:rsidRPr="003A78F3">
        <w:rPr>
          <w:lang w:val="en-GB"/>
        </w:rPr>
        <w:t xml:space="preserve"> </w:t>
      </w:r>
      <w:r w:rsidR="00622566" w:rsidRPr="003A78F3">
        <w:rPr>
          <w:lang w:val="en-GB"/>
        </w:rPr>
        <w:t xml:space="preserve">of employees in the </w:t>
      </w:r>
      <w:r w:rsidR="00494419" w:rsidRPr="003A78F3">
        <w:rPr>
          <w:lang w:val="en-GB"/>
        </w:rPr>
        <w:t xml:space="preserve">ministries of finance is implemented on an ongoing basis </w:t>
      </w:r>
      <w:r w:rsidR="00622566" w:rsidRPr="003A78F3">
        <w:rPr>
          <w:lang w:val="en-GB"/>
        </w:rPr>
        <w:t xml:space="preserve">through workshops, seminars and presentations. </w:t>
      </w:r>
      <w:r w:rsidR="00494419" w:rsidRPr="003A78F3">
        <w:rPr>
          <w:lang w:val="en-GB"/>
        </w:rPr>
        <w:t xml:space="preserve">Rules on internal organisation and staffing have been adopted by the ministries of finance </w:t>
      </w:r>
      <w:r w:rsidR="00622566" w:rsidRPr="003A78F3">
        <w:rPr>
          <w:lang w:val="en-GB"/>
        </w:rPr>
        <w:t xml:space="preserve">and </w:t>
      </w:r>
      <w:r w:rsidR="00494419" w:rsidRPr="003A78F3">
        <w:rPr>
          <w:lang w:val="en-GB"/>
        </w:rPr>
        <w:t>positions are currently being filled</w:t>
      </w:r>
      <w:r w:rsidR="00622566" w:rsidRPr="003A78F3">
        <w:rPr>
          <w:lang w:val="en-GB"/>
        </w:rPr>
        <w:t>.</w:t>
      </w:r>
    </w:p>
    <w:p w:rsidR="00403657" w:rsidRPr="00BD5520" w:rsidRDefault="00403657" w:rsidP="00403657">
      <w:pPr>
        <w:spacing w:line="240" w:lineRule="auto"/>
        <w:rPr>
          <w:b/>
          <w:bCs/>
          <w:sz w:val="2"/>
          <w:szCs w:val="2"/>
          <w:lang w:val="en-GB"/>
        </w:rPr>
      </w:pPr>
    </w:p>
    <w:p w:rsidR="00A97C31" w:rsidRPr="003A78F3" w:rsidRDefault="00622566" w:rsidP="00403657">
      <w:pPr>
        <w:spacing w:line="240" w:lineRule="auto"/>
        <w:rPr>
          <w:b/>
          <w:bCs/>
          <w:lang w:val="en-GB"/>
        </w:rPr>
      </w:pPr>
      <w:r w:rsidRPr="003A78F3">
        <w:rPr>
          <w:b/>
          <w:bCs/>
          <w:lang w:val="en-GB"/>
        </w:rPr>
        <w:t xml:space="preserve">5. </w:t>
      </w:r>
      <w:r w:rsidR="0022529D" w:rsidRPr="003A78F3">
        <w:rPr>
          <w:b/>
          <w:bCs/>
          <w:lang w:val="en-GB"/>
        </w:rPr>
        <w:t>Improvement of public debt management efficiency</w:t>
      </w:r>
    </w:p>
    <w:p w:rsidR="00A97C31" w:rsidRPr="003A78F3" w:rsidRDefault="00622566" w:rsidP="00403657">
      <w:pPr>
        <w:spacing w:line="240" w:lineRule="auto"/>
        <w:jc w:val="both"/>
        <w:rPr>
          <w:b/>
          <w:bCs/>
          <w:lang w:val="en-GB"/>
        </w:rPr>
      </w:pPr>
      <w:r w:rsidRPr="003A78F3">
        <w:rPr>
          <w:b/>
          <w:bCs/>
          <w:lang w:val="en-GB"/>
        </w:rPr>
        <w:t xml:space="preserve">Recommendation: Progress in </w:t>
      </w:r>
      <w:r w:rsidR="00494419" w:rsidRPr="003A78F3">
        <w:rPr>
          <w:b/>
          <w:bCs/>
          <w:lang w:val="en-GB"/>
        </w:rPr>
        <w:t>enhancing</w:t>
      </w:r>
      <w:r w:rsidRPr="003A78F3">
        <w:rPr>
          <w:b/>
          <w:bCs/>
          <w:lang w:val="en-GB"/>
        </w:rPr>
        <w:t xml:space="preserve"> </w:t>
      </w:r>
      <w:r w:rsidR="00494419" w:rsidRPr="003A78F3">
        <w:rPr>
          <w:b/>
          <w:bCs/>
          <w:lang w:val="en-GB"/>
        </w:rPr>
        <w:t xml:space="preserve">public debt management </w:t>
      </w:r>
      <w:r w:rsidRPr="003A78F3">
        <w:rPr>
          <w:b/>
          <w:bCs/>
          <w:lang w:val="en-GB"/>
        </w:rPr>
        <w:t xml:space="preserve">efficiency has not been </w:t>
      </w:r>
      <w:r w:rsidR="00494419" w:rsidRPr="003A78F3">
        <w:rPr>
          <w:b/>
          <w:bCs/>
          <w:lang w:val="en-GB"/>
        </w:rPr>
        <w:t>achieved</w:t>
      </w:r>
      <w:r w:rsidRPr="003A78F3">
        <w:rPr>
          <w:b/>
          <w:bCs/>
          <w:lang w:val="en-GB"/>
        </w:rPr>
        <w:t xml:space="preserve"> as </w:t>
      </w:r>
      <w:r w:rsidR="00494419" w:rsidRPr="003A78F3">
        <w:rPr>
          <w:b/>
          <w:bCs/>
          <w:lang w:val="en-GB"/>
        </w:rPr>
        <w:t>planned</w:t>
      </w:r>
      <w:r w:rsidRPr="003A78F3">
        <w:rPr>
          <w:b/>
          <w:bCs/>
          <w:lang w:val="en-GB"/>
        </w:rPr>
        <w:t xml:space="preserve">. It is necessary to achieve </w:t>
      </w:r>
      <w:r w:rsidR="00494419" w:rsidRPr="003A78F3">
        <w:rPr>
          <w:b/>
          <w:bCs/>
          <w:lang w:val="en-GB"/>
        </w:rPr>
        <w:t>agreement among</w:t>
      </w:r>
      <w:r w:rsidRPr="003A78F3">
        <w:rPr>
          <w:b/>
          <w:bCs/>
          <w:lang w:val="en-GB"/>
        </w:rPr>
        <w:t xml:space="preserve"> all levels of government on the adoption of a </w:t>
      </w:r>
      <w:r w:rsidR="00494419" w:rsidRPr="003A78F3">
        <w:rPr>
          <w:b/>
          <w:bCs/>
          <w:lang w:val="en-GB"/>
        </w:rPr>
        <w:t>single</w:t>
      </w:r>
      <w:r w:rsidRPr="003A78F3">
        <w:rPr>
          <w:b/>
          <w:bCs/>
          <w:lang w:val="en-GB"/>
        </w:rPr>
        <w:t xml:space="preserve"> </w:t>
      </w:r>
      <w:r w:rsidR="00494419" w:rsidRPr="003A78F3">
        <w:rPr>
          <w:b/>
          <w:bCs/>
          <w:lang w:val="en-GB"/>
        </w:rPr>
        <w:t xml:space="preserve">public debt management </w:t>
      </w:r>
      <w:r w:rsidRPr="003A78F3">
        <w:rPr>
          <w:b/>
          <w:bCs/>
          <w:lang w:val="en-GB"/>
        </w:rPr>
        <w:t xml:space="preserve">methodology and </w:t>
      </w:r>
      <w:r w:rsidR="00494419" w:rsidRPr="003A78F3">
        <w:rPr>
          <w:b/>
          <w:bCs/>
          <w:lang w:val="en-GB"/>
        </w:rPr>
        <w:t>ensure</w:t>
      </w:r>
      <w:r w:rsidRPr="003A78F3">
        <w:rPr>
          <w:b/>
          <w:bCs/>
          <w:lang w:val="en-GB"/>
        </w:rPr>
        <w:t xml:space="preserve"> better coordination.</w:t>
      </w:r>
    </w:p>
    <w:p w:rsidR="00A97C31" w:rsidRPr="003A78F3" w:rsidRDefault="0022529D" w:rsidP="00403657">
      <w:pPr>
        <w:spacing w:line="240" w:lineRule="auto"/>
        <w:jc w:val="both"/>
        <w:rPr>
          <w:lang w:val="en-GB"/>
        </w:rPr>
      </w:pPr>
      <w:r w:rsidRPr="003A78F3">
        <w:rPr>
          <w:b/>
          <w:bCs/>
          <w:lang w:val="en-GB"/>
        </w:rPr>
        <w:t>Rationale</w:t>
      </w:r>
      <w:r w:rsidR="00622566" w:rsidRPr="003A78F3">
        <w:rPr>
          <w:b/>
          <w:bCs/>
          <w:lang w:val="en-GB"/>
        </w:rPr>
        <w:t>:</w:t>
      </w:r>
      <w:r w:rsidR="00D06646" w:rsidRPr="003A78F3">
        <w:rPr>
          <w:b/>
          <w:bCs/>
          <w:lang w:val="en-GB"/>
        </w:rPr>
        <w:t xml:space="preserve"> </w:t>
      </w:r>
      <w:r w:rsidR="0069164E" w:rsidRPr="003A78F3">
        <w:rPr>
          <w:lang w:val="en-GB"/>
        </w:rPr>
        <w:t>Implementation of the project “</w:t>
      </w:r>
      <w:r w:rsidR="00622566" w:rsidRPr="003A78F3">
        <w:rPr>
          <w:lang w:val="en-GB"/>
        </w:rPr>
        <w:t xml:space="preserve">Strengthening </w:t>
      </w:r>
      <w:r w:rsidR="0069164E" w:rsidRPr="003A78F3">
        <w:rPr>
          <w:lang w:val="en-GB"/>
        </w:rPr>
        <w:t>Public Debt Management Capacity”</w:t>
      </w:r>
      <w:r w:rsidR="00622566" w:rsidRPr="003A78F3">
        <w:rPr>
          <w:lang w:val="en-GB"/>
        </w:rPr>
        <w:t>, which was financed from IPA 2011</w:t>
      </w:r>
      <w:r w:rsidR="0069164E" w:rsidRPr="003A78F3">
        <w:rPr>
          <w:lang w:val="en-GB"/>
        </w:rPr>
        <w:t>,</w:t>
      </w:r>
      <w:r w:rsidR="00622566" w:rsidRPr="003A78F3">
        <w:rPr>
          <w:lang w:val="en-GB"/>
        </w:rPr>
        <w:t xml:space="preserve"> </w:t>
      </w:r>
      <w:r w:rsidR="0069164E" w:rsidRPr="003A78F3">
        <w:rPr>
          <w:lang w:val="en-GB"/>
        </w:rPr>
        <w:t>has</w:t>
      </w:r>
      <w:r w:rsidR="00622566" w:rsidRPr="003A78F3">
        <w:rPr>
          <w:lang w:val="en-GB"/>
        </w:rPr>
        <w:t xml:space="preserve"> part</w:t>
      </w:r>
      <w:r w:rsidR="000D7EC8">
        <w:rPr>
          <w:lang w:val="en-GB"/>
        </w:rPr>
        <w:t>ial</w:t>
      </w:r>
      <w:r w:rsidR="00622566" w:rsidRPr="003A78F3">
        <w:rPr>
          <w:lang w:val="en-GB"/>
        </w:rPr>
        <w:t xml:space="preserve">ly </w:t>
      </w:r>
      <w:r w:rsidR="0069164E" w:rsidRPr="003A78F3">
        <w:rPr>
          <w:lang w:val="en-GB"/>
        </w:rPr>
        <w:t>contributed to</w:t>
      </w:r>
      <w:r w:rsidR="00622566" w:rsidRPr="003A78F3">
        <w:rPr>
          <w:lang w:val="en-GB"/>
        </w:rPr>
        <w:t xml:space="preserve"> more efficient </w:t>
      </w:r>
      <w:r w:rsidR="0069164E" w:rsidRPr="003A78F3">
        <w:rPr>
          <w:lang w:val="en-GB"/>
        </w:rPr>
        <w:t xml:space="preserve">public debt </w:t>
      </w:r>
      <w:r w:rsidR="00622566" w:rsidRPr="003A78F3">
        <w:rPr>
          <w:lang w:val="en-GB"/>
        </w:rPr>
        <w:t>management</w:t>
      </w:r>
      <w:r w:rsidR="0069164E" w:rsidRPr="003A78F3">
        <w:rPr>
          <w:lang w:val="en-GB"/>
        </w:rPr>
        <w:t>. T</w:t>
      </w:r>
      <w:r w:rsidR="00622566" w:rsidRPr="003A78F3">
        <w:rPr>
          <w:lang w:val="en-GB"/>
        </w:rPr>
        <w:t>h</w:t>
      </w:r>
      <w:r w:rsidR="000D7EC8">
        <w:rPr>
          <w:lang w:val="en-GB"/>
        </w:rPr>
        <w:t>e</w:t>
      </w:r>
      <w:r w:rsidR="00622566" w:rsidRPr="003A78F3">
        <w:rPr>
          <w:lang w:val="en-GB"/>
        </w:rPr>
        <w:t xml:space="preserve"> project provides for the purchase of hardware. Hardware procurement procedures </w:t>
      </w:r>
      <w:r w:rsidR="0069164E" w:rsidRPr="003A78F3">
        <w:rPr>
          <w:lang w:val="en-GB"/>
        </w:rPr>
        <w:t>are</w:t>
      </w:r>
      <w:r w:rsidR="00622566" w:rsidRPr="003A78F3">
        <w:rPr>
          <w:lang w:val="en-GB"/>
        </w:rPr>
        <w:t xml:space="preserve"> under way and should be completed in 2015.</w:t>
      </w:r>
    </w:p>
    <w:p w:rsidR="00A97C31" w:rsidRPr="003A78F3" w:rsidRDefault="00E81D05" w:rsidP="0069164E">
      <w:pPr>
        <w:pStyle w:val="Heading1"/>
        <w:spacing w:before="100" w:after="100" w:line="240" w:lineRule="auto"/>
        <w:rPr>
          <w:rFonts w:ascii="Calibri" w:hAnsi="Calibri" w:cs="Calibri" w:hint="default"/>
          <w:sz w:val="32"/>
          <w:szCs w:val="32"/>
          <w:lang w:val="en-GB"/>
        </w:rPr>
      </w:pPr>
      <w:r w:rsidRPr="003A78F3">
        <w:rPr>
          <w:rFonts w:ascii="Calibri" w:hAnsi="Calibri" w:cs="Calibri" w:hint="default"/>
          <w:sz w:val="32"/>
          <w:szCs w:val="32"/>
          <w:lang w:val="en-GB"/>
        </w:rPr>
        <w:br w:type="page"/>
      </w:r>
      <w:bookmarkStart w:id="25" w:name="_Toc473971996"/>
      <w:r w:rsidR="00622566" w:rsidRPr="003A78F3">
        <w:rPr>
          <w:rFonts w:ascii="Calibri" w:hAnsi="Calibri" w:cs="Calibri" w:hint="default"/>
          <w:sz w:val="32"/>
          <w:szCs w:val="32"/>
          <w:lang w:val="en-GB"/>
        </w:rPr>
        <w:lastRenderedPageBreak/>
        <w:t>Annexes</w:t>
      </w:r>
      <w:bookmarkEnd w:id="25"/>
    </w:p>
    <w:p w:rsidR="00A97C31" w:rsidRPr="003A78F3" w:rsidRDefault="00622566" w:rsidP="00403657">
      <w:pPr>
        <w:pStyle w:val="Heading2"/>
        <w:rPr>
          <w:rFonts w:ascii="Calibri" w:hAnsi="Calibri" w:cs="Calibri"/>
          <w:lang w:val="en-GB"/>
        </w:rPr>
      </w:pPr>
      <w:bookmarkStart w:id="26" w:name="_Toc473971997"/>
      <w:r w:rsidRPr="003A78F3">
        <w:rPr>
          <w:rFonts w:ascii="Calibri" w:hAnsi="Calibri" w:cs="Calibri"/>
          <w:lang w:val="en-GB"/>
        </w:rPr>
        <w:t>Annex 1</w:t>
      </w:r>
      <w:bookmarkEnd w:id="26"/>
    </w:p>
    <w:p w:rsidR="00A97C31" w:rsidRPr="003A78F3" w:rsidRDefault="0022529D" w:rsidP="00403657">
      <w:pPr>
        <w:spacing w:line="240" w:lineRule="auto"/>
        <w:jc w:val="both"/>
        <w:rPr>
          <w:rFonts w:cs="Calibri"/>
          <w:b/>
          <w:bCs/>
          <w:lang w:val="en-GB"/>
        </w:rPr>
      </w:pPr>
      <w:r w:rsidRPr="003A78F3">
        <w:rPr>
          <w:rFonts w:cs="Calibri"/>
          <w:b/>
          <w:bCs/>
          <w:lang w:val="en-GB"/>
        </w:rPr>
        <w:t>L</w:t>
      </w:r>
      <w:r w:rsidR="00622566" w:rsidRPr="003A78F3">
        <w:rPr>
          <w:rFonts w:cs="Calibri"/>
          <w:b/>
          <w:bCs/>
          <w:lang w:val="en-GB"/>
        </w:rPr>
        <w:t xml:space="preserve">ist of institutions covered by monitoring </w:t>
      </w: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97C31" w:rsidRPr="003A78F3">
        <w:tc>
          <w:tcPr>
            <w:tcW w:w="9062" w:type="dxa"/>
            <w:shd w:val="clear" w:color="auto" w:fill="A6A6A6"/>
          </w:tcPr>
          <w:p w:rsidR="00A97C31" w:rsidRPr="003A78F3" w:rsidRDefault="0022529D" w:rsidP="00403657">
            <w:pPr>
              <w:pStyle w:val="PlainText"/>
              <w:jc w:val="center"/>
              <w:rPr>
                <w:b/>
                <w:szCs w:val="24"/>
                <w:lang w:val="en-GB"/>
              </w:rPr>
            </w:pPr>
            <w:r w:rsidRPr="003A78F3">
              <w:rPr>
                <w:b/>
                <w:szCs w:val="24"/>
                <w:lang w:val="en-GB"/>
              </w:rPr>
              <w:t>Public F</w:t>
            </w:r>
            <w:r w:rsidR="00622566" w:rsidRPr="003A78F3">
              <w:rPr>
                <w:b/>
                <w:szCs w:val="24"/>
                <w:lang w:val="en-GB"/>
              </w:rPr>
              <w:t>inance</w:t>
            </w:r>
          </w:p>
        </w:tc>
      </w:tr>
      <w:tr w:rsidR="00A97C31" w:rsidRPr="003A78F3">
        <w:tc>
          <w:tcPr>
            <w:tcW w:w="9062" w:type="dxa"/>
            <w:shd w:val="clear" w:color="auto" w:fill="D9D9D9"/>
          </w:tcPr>
          <w:p w:rsidR="00A97C31" w:rsidRPr="003A78F3" w:rsidRDefault="0022529D" w:rsidP="00403657">
            <w:pPr>
              <w:pStyle w:val="PlainText"/>
              <w:jc w:val="center"/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S</w:t>
            </w:r>
            <w:r w:rsidR="00622566" w:rsidRPr="003A78F3">
              <w:rPr>
                <w:szCs w:val="24"/>
                <w:lang w:val="en-GB"/>
              </w:rPr>
              <w:t>tate level</w:t>
            </w:r>
          </w:p>
        </w:tc>
      </w:tr>
      <w:tr w:rsidR="00A97C31" w:rsidRPr="003A78F3">
        <w:tc>
          <w:tcPr>
            <w:tcW w:w="9062" w:type="dxa"/>
          </w:tcPr>
          <w:p w:rsidR="00A97C31" w:rsidRPr="003A78F3" w:rsidRDefault="00622566" w:rsidP="00403657">
            <w:pPr>
              <w:pStyle w:val="PlainText"/>
              <w:numPr>
                <w:ilvl w:val="0"/>
                <w:numId w:val="2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 xml:space="preserve">Ministry of Justice </w:t>
            </w:r>
          </w:p>
          <w:p w:rsidR="00A97C31" w:rsidRPr="003A78F3" w:rsidRDefault="00622566" w:rsidP="00403657">
            <w:pPr>
              <w:pStyle w:val="PlainText"/>
              <w:numPr>
                <w:ilvl w:val="0"/>
                <w:numId w:val="2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Civil Service Agency</w:t>
            </w:r>
          </w:p>
          <w:p w:rsidR="00A97C31" w:rsidRPr="003A78F3" w:rsidRDefault="00622566" w:rsidP="00403657">
            <w:pPr>
              <w:pStyle w:val="PlainText"/>
              <w:numPr>
                <w:ilvl w:val="0"/>
                <w:numId w:val="2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PARCO</w:t>
            </w:r>
          </w:p>
          <w:p w:rsidR="00A97C31" w:rsidRPr="003A78F3" w:rsidRDefault="00622566" w:rsidP="00403657">
            <w:pPr>
              <w:pStyle w:val="PlainText"/>
              <w:numPr>
                <w:ilvl w:val="0"/>
                <w:numId w:val="2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Ministry of Foreign Affairs</w:t>
            </w:r>
          </w:p>
          <w:p w:rsidR="00A97C31" w:rsidRPr="003A78F3" w:rsidRDefault="00622566" w:rsidP="00403657">
            <w:pPr>
              <w:pStyle w:val="PlainText"/>
              <w:numPr>
                <w:ilvl w:val="0"/>
                <w:numId w:val="2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Directorate for European Integration</w:t>
            </w:r>
          </w:p>
          <w:p w:rsidR="00A97C31" w:rsidRPr="003A78F3" w:rsidRDefault="00A97C31" w:rsidP="00403657">
            <w:pPr>
              <w:pStyle w:val="PlainText"/>
              <w:rPr>
                <w:szCs w:val="24"/>
                <w:lang w:val="en-GB"/>
              </w:rPr>
            </w:pPr>
          </w:p>
        </w:tc>
      </w:tr>
      <w:tr w:rsidR="00A97C31" w:rsidRPr="003A78F3">
        <w:tc>
          <w:tcPr>
            <w:tcW w:w="9062" w:type="dxa"/>
            <w:shd w:val="clear" w:color="auto" w:fill="D9D9D9"/>
          </w:tcPr>
          <w:p w:rsidR="00A97C31" w:rsidRPr="003A78F3" w:rsidRDefault="00622566" w:rsidP="00403657">
            <w:pPr>
              <w:pStyle w:val="PlainText"/>
              <w:jc w:val="center"/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Federation of BiH</w:t>
            </w:r>
          </w:p>
        </w:tc>
      </w:tr>
      <w:tr w:rsidR="00A97C31" w:rsidRPr="003A78F3">
        <w:tc>
          <w:tcPr>
            <w:tcW w:w="9062" w:type="dxa"/>
          </w:tcPr>
          <w:p w:rsidR="00A97C31" w:rsidRPr="003A78F3" w:rsidRDefault="00622566" w:rsidP="00403657">
            <w:pPr>
              <w:pStyle w:val="PlainText"/>
              <w:numPr>
                <w:ilvl w:val="0"/>
                <w:numId w:val="3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 xml:space="preserve">Ministry of Justice </w:t>
            </w:r>
            <w:r w:rsidR="0022529D" w:rsidRPr="003A78F3">
              <w:rPr>
                <w:szCs w:val="24"/>
                <w:lang w:val="en-GB"/>
              </w:rPr>
              <w:t>of FBiH</w:t>
            </w:r>
          </w:p>
          <w:p w:rsidR="00A97C31" w:rsidRPr="003A78F3" w:rsidRDefault="00622566" w:rsidP="00403657">
            <w:pPr>
              <w:pStyle w:val="PlainText"/>
              <w:numPr>
                <w:ilvl w:val="0"/>
                <w:numId w:val="3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 xml:space="preserve">Ministry of Finance </w:t>
            </w:r>
            <w:r w:rsidR="0022529D" w:rsidRPr="003A78F3">
              <w:rPr>
                <w:szCs w:val="24"/>
                <w:lang w:val="en-GB"/>
              </w:rPr>
              <w:t>of FBiH</w:t>
            </w:r>
          </w:p>
          <w:p w:rsidR="00A97C31" w:rsidRPr="003A78F3" w:rsidRDefault="00622566" w:rsidP="00403657">
            <w:pPr>
              <w:pStyle w:val="PlainText"/>
              <w:numPr>
                <w:ilvl w:val="0"/>
                <w:numId w:val="3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Ministry of Education</w:t>
            </w:r>
            <w:r w:rsidR="0022529D" w:rsidRPr="003A78F3">
              <w:rPr>
                <w:szCs w:val="24"/>
                <w:lang w:val="en-GB"/>
              </w:rPr>
              <w:t xml:space="preserve"> of FBiH</w:t>
            </w:r>
          </w:p>
          <w:p w:rsidR="00A97C31" w:rsidRPr="003A78F3" w:rsidRDefault="00622566" w:rsidP="00403657">
            <w:pPr>
              <w:pStyle w:val="PlainText"/>
              <w:numPr>
                <w:ilvl w:val="0"/>
                <w:numId w:val="3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Civil Service Agency of FBiH</w:t>
            </w:r>
          </w:p>
          <w:p w:rsidR="00A97C31" w:rsidRPr="003A78F3" w:rsidRDefault="00622566" w:rsidP="00403657">
            <w:pPr>
              <w:pStyle w:val="PlainText"/>
              <w:numPr>
                <w:ilvl w:val="0"/>
                <w:numId w:val="3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Tax Administration of FBiH</w:t>
            </w:r>
          </w:p>
          <w:p w:rsidR="00A97C31" w:rsidRPr="003A78F3" w:rsidRDefault="00A97C31" w:rsidP="00403657">
            <w:pPr>
              <w:pStyle w:val="PlainText"/>
              <w:rPr>
                <w:szCs w:val="24"/>
                <w:lang w:val="en-GB"/>
              </w:rPr>
            </w:pPr>
          </w:p>
        </w:tc>
      </w:tr>
      <w:tr w:rsidR="00A97C31" w:rsidRPr="003A78F3">
        <w:tc>
          <w:tcPr>
            <w:tcW w:w="9062" w:type="dxa"/>
            <w:shd w:val="clear" w:color="auto" w:fill="D9D9D9"/>
          </w:tcPr>
          <w:p w:rsidR="00A97C31" w:rsidRPr="003A78F3" w:rsidRDefault="00622566" w:rsidP="00403657">
            <w:pPr>
              <w:pStyle w:val="PlainText"/>
              <w:jc w:val="center"/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RS</w:t>
            </w:r>
          </w:p>
        </w:tc>
      </w:tr>
      <w:tr w:rsidR="00A97C31" w:rsidRPr="003A78F3">
        <w:tc>
          <w:tcPr>
            <w:tcW w:w="9062" w:type="dxa"/>
          </w:tcPr>
          <w:p w:rsidR="00A97C31" w:rsidRPr="003A78F3" w:rsidRDefault="00622566" w:rsidP="00403657">
            <w:pPr>
              <w:pStyle w:val="PlainText"/>
              <w:numPr>
                <w:ilvl w:val="0"/>
                <w:numId w:val="4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Civil Service Agency</w:t>
            </w:r>
          </w:p>
          <w:p w:rsidR="00A97C31" w:rsidRPr="003A78F3" w:rsidRDefault="00622566" w:rsidP="00403657">
            <w:pPr>
              <w:pStyle w:val="PlainText"/>
              <w:numPr>
                <w:ilvl w:val="0"/>
                <w:numId w:val="4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Ministry of Public Administration and Local Self-Government</w:t>
            </w:r>
          </w:p>
          <w:p w:rsidR="00A97C31" w:rsidRPr="003A78F3" w:rsidRDefault="00622566" w:rsidP="00403657">
            <w:pPr>
              <w:pStyle w:val="PlainText"/>
              <w:numPr>
                <w:ilvl w:val="0"/>
                <w:numId w:val="4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Ministry of Finance</w:t>
            </w:r>
          </w:p>
          <w:p w:rsidR="00A97C31" w:rsidRPr="003A78F3" w:rsidRDefault="00622566" w:rsidP="00403657">
            <w:pPr>
              <w:pStyle w:val="PlainText"/>
              <w:numPr>
                <w:ilvl w:val="0"/>
                <w:numId w:val="4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 xml:space="preserve">Ministry of </w:t>
            </w:r>
            <w:r w:rsidR="00D06646" w:rsidRPr="003A78F3">
              <w:rPr>
                <w:szCs w:val="24"/>
                <w:lang w:val="en-GB"/>
              </w:rPr>
              <w:t>Labour</w:t>
            </w:r>
            <w:r w:rsidRPr="003A78F3">
              <w:rPr>
                <w:szCs w:val="24"/>
                <w:lang w:val="en-GB"/>
              </w:rPr>
              <w:t xml:space="preserve"> and Veterans Protection</w:t>
            </w:r>
          </w:p>
          <w:p w:rsidR="00A97C31" w:rsidRPr="003A78F3" w:rsidRDefault="00622566" w:rsidP="00403657">
            <w:pPr>
              <w:pStyle w:val="PlainText"/>
              <w:numPr>
                <w:ilvl w:val="0"/>
                <w:numId w:val="4"/>
              </w:numPr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 xml:space="preserve">Helicopter Service of </w:t>
            </w:r>
            <w:r w:rsidR="0022529D" w:rsidRPr="003A78F3">
              <w:rPr>
                <w:szCs w:val="24"/>
                <w:lang w:val="en-GB"/>
              </w:rPr>
              <w:t>RS</w:t>
            </w:r>
          </w:p>
          <w:p w:rsidR="00A97C31" w:rsidRPr="003A78F3" w:rsidRDefault="00A97C31" w:rsidP="00403657">
            <w:pPr>
              <w:pStyle w:val="PlainText"/>
              <w:rPr>
                <w:szCs w:val="24"/>
                <w:lang w:val="en-GB"/>
              </w:rPr>
            </w:pPr>
          </w:p>
        </w:tc>
      </w:tr>
      <w:tr w:rsidR="00A97C31" w:rsidRPr="003A78F3">
        <w:tc>
          <w:tcPr>
            <w:tcW w:w="9062" w:type="dxa"/>
            <w:shd w:val="clear" w:color="auto" w:fill="D9D9D9"/>
          </w:tcPr>
          <w:p w:rsidR="00A97C31" w:rsidRPr="003A78F3" w:rsidRDefault="00B94524" w:rsidP="00403657">
            <w:pPr>
              <w:pStyle w:val="PlainText"/>
              <w:jc w:val="center"/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Brčko</w:t>
            </w:r>
            <w:r w:rsidR="00622566" w:rsidRPr="003A78F3">
              <w:rPr>
                <w:szCs w:val="24"/>
                <w:lang w:val="en-GB"/>
              </w:rPr>
              <w:t xml:space="preserve"> District</w:t>
            </w:r>
          </w:p>
        </w:tc>
      </w:tr>
      <w:tr w:rsidR="00A97C31" w:rsidRPr="003A78F3">
        <w:tc>
          <w:tcPr>
            <w:tcW w:w="9062" w:type="dxa"/>
          </w:tcPr>
          <w:p w:rsidR="00A97C31" w:rsidRPr="003A78F3" w:rsidRDefault="0069164E" w:rsidP="00403657">
            <w:pPr>
              <w:pStyle w:val="PlainText"/>
              <w:rPr>
                <w:szCs w:val="24"/>
                <w:lang w:val="en-GB"/>
              </w:rPr>
            </w:pPr>
            <w:r w:rsidRPr="003A78F3">
              <w:rPr>
                <w:szCs w:val="24"/>
                <w:lang w:val="en-GB"/>
              </w:rPr>
              <w:t>Subd</w:t>
            </w:r>
            <w:r w:rsidR="00622566" w:rsidRPr="003A78F3">
              <w:rPr>
                <w:szCs w:val="24"/>
                <w:lang w:val="en-GB"/>
              </w:rPr>
              <w:t xml:space="preserve">ivision for Human Resources </w:t>
            </w:r>
          </w:p>
          <w:p w:rsidR="00A97C31" w:rsidRPr="003A78F3" w:rsidRDefault="00A97C31" w:rsidP="00403657">
            <w:pPr>
              <w:pStyle w:val="PlainText"/>
              <w:rPr>
                <w:szCs w:val="24"/>
                <w:lang w:val="en-GB"/>
              </w:rPr>
            </w:pPr>
          </w:p>
        </w:tc>
      </w:tr>
    </w:tbl>
    <w:p w:rsidR="00A97C31" w:rsidRPr="003A78F3" w:rsidRDefault="00A97C31" w:rsidP="00403657">
      <w:pPr>
        <w:spacing w:line="240" w:lineRule="auto"/>
        <w:jc w:val="both"/>
        <w:rPr>
          <w:rFonts w:cs="Calibri"/>
          <w:lang w:val="en-GB"/>
        </w:rPr>
      </w:pPr>
    </w:p>
    <w:p w:rsidR="00A97C31" w:rsidRPr="003A78F3" w:rsidRDefault="00A97C31" w:rsidP="00403657">
      <w:pPr>
        <w:spacing w:line="240" w:lineRule="auto"/>
        <w:jc w:val="both"/>
        <w:rPr>
          <w:rFonts w:cs="Calibri"/>
          <w:lang w:val="en-GB"/>
        </w:rPr>
      </w:pPr>
    </w:p>
    <w:p w:rsidR="00A97C31" w:rsidRPr="003A78F3" w:rsidRDefault="00A97C31" w:rsidP="00403657">
      <w:pPr>
        <w:spacing w:line="240" w:lineRule="auto"/>
        <w:jc w:val="both"/>
        <w:rPr>
          <w:rFonts w:cs="Calibri"/>
          <w:lang w:val="en-GB"/>
        </w:rPr>
      </w:pPr>
    </w:p>
    <w:p w:rsidR="00A97C31" w:rsidRPr="003A78F3" w:rsidRDefault="00A97C31" w:rsidP="00403657">
      <w:pPr>
        <w:spacing w:line="240" w:lineRule="auto"/>
        <w:jc w:val="both"/>
        <w:rPr>
          <w:rFonts w:cs="Calibri"/>
          <w:lang w:val="en-GB"/>
        </w:rPr>
      </w:pPr>
    </w:p>
    <w:p w:rsidR="00A97C31" w:rsidRPr="003A78F3" w:rsidRDefault="00A97C31" w:rsidP="00403657">
      <w:pPr>
        <w:spacing w:line="240" w:lineRule="auto"/>
        <w:jc w:val="both"/>
        <w:rPr>
          <w:rFonts w:cs="Calibri"/>
          <w:lang w:val="en-GB"/>
        </w:rPr>
      </w:pPr>
    </w:p>
    <w:p w:rsidR="00A97C31" w:rsidRPr="003A78F3" w:rsidRDefault="00A97C31" w:rsidP="00403657">
      <w:pPr>
        <w:spacing w:line="240" w:lineRule="auto"/>
        <w:jc w:val="both"/>
        <w:rPr>
          <w:rFonts w:cs="Calibri"/>
          <w:lang w:val="en-GB"/>
        </w:rPr>
      </w:pPr>
    </w:p>
    <w:p w:rsidR="00A97C31" w:rsidRPr="003A78F3" w:rsidRDefault="00A97C31" w:rsidP="00403657">
      <w:pPr>
        <w:spacing w:line="240" w:lineRule="auto"/>
        <w:jc w:val="both"/>
        <w:rPr>
          <w:rFonts w:cs="Calibri"/>
          <w:lang w:val="en-GB"/>
        </w:rPr>
      </w:pPr>
    </w:p>
    <w:p w:rsidR="00A97C31" w:rsidRPr="003A78F3" w:rsidRDefault="00622566" w:rsidP="00403657">
      <w:pPr>
        <w:pStyle w:val="Heading2"/>
        <w:rPr>
          <w:rFonts w:ascii="Calibri" w:hAnsi="Calibri" w:cs="Calibri"/>
          <w:lang w:val="en-GB"/>
        </w:rPr>
      </w:pPr>
      <w:bookmarkStart w:id="27" w:name="_Toc473971998"/>
      <w:r w:rsidRPr="003A78F3">
        <w:rPr>
          <w:rFonts w:ascii="Calibri" w:hAnsi="Calibri" w:cs="Calibri"/>
          <w:lang w:val="en-GB"/>
        </w:rPr>
        <w:lastRenderedPageBreak/>
        <w:t>Annex 2</w:t>
      </w:r>
      <w:bookmarkEnd w:id="27"/>
    </w:p>
    <w:p w:rsidR="00A97C31" w:rsidRPr="003A78F3" w:rsidRDefault="00403657" w:rsidP="00403657">
      <w:pPr>
        <w:spacing w:line="240" w:lineRule="auto"/>
        <w:rPr>
          <w:b/>
          <w:lang w:val="en-GB" w:eastAsia="ja-JP"/>
        </w:rPr>
      </w:pPr>
      <w:r w:rsidRPr="003A78F3">
        <w:rPr>
          <w:b/>
          <w:lang w:val="en-GB" w:eastAsia="ja-JP"/>
        </w:rPr>
        <w:t xml:space="preserve">   </w:t>
      </w:r>
      <w:r w:rsidR="00D06646" w:rsidRPr="003A78F3">
        <w:rPr>
          <w:b/>
          <w:lang w:val="en-GB" w:eastAsia="ja-JP"/>
        </w:rPr>
        <w:t>BiH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Calibri"/>
          <w:bCs/>
          <w:iCs/>
          <w:szCs w:val="24"/>
          <w:lang w:val="en-GB" w:eastAsia="en-US"/>
        </w:rPr>
        <w:t xml:space="preserve">Law on Indirect Taxation System in Bosnia and Herzegovina (BiH) </w:t>
      </w:r>
      <w:r w:rsidR="00D06646" w:rsidRPr="003A78F3">
        <w:rPr>
          <w:rFonts w:cs="Calibri"/>
          <w:bCs/>
          <w:iCs/>
          <w:szCs w:val="24"/>
          <w:lang w:val="en-GB" w:eastAsia="en-US"/>
        </w:rPr>
        <w:t>(</w:t>
      </w:r>
      <w:r w:rsidR="002B2178" w:rsidRPr="003A78F3">
        <w:rPr>
          <w:rFonts w:cs="Calibri"/>
          <w:bCs/>
          <w:iCs/>
          <w:szCs w:val="24"/>
          <w:lang w:val="en-GB" w:eastAsia="en-US"/>
        </w:rPr>
        <w:t>“Official Gazette of BiH”,</w:t>
      </w:r>
      <w:r w:rsidRPr="003A78F3">
        <w:rPr>
          <w:rFonts w:cs="Calibri"/>
          <w:bCs/>
          <w:iCs/>
          <w:szCs w:val="24"/>
          <w:lang w:val="en-GB" w:eastAsia="en-US"/>
        </w:rPr>
        <w:t xml:space="preserve"> </w:t>
      </w:r>
      <w:r w:rsidR="00137C3A" w:rsidRPr="003A78F3">
        <w:rPr>
          <w:rFonts w:cs="Calibri"/>
          <w:bCs/>
          <w:iCs/>
          <w:szCs w:val="24"/>
          <w:lang w:val="en-GB" w:eastAsia="en-US"/>
        </w:rPr>
        <w:t>N</w:t>
      </w:r>
      <w:r w:rsidRPr="003A78F3">
        <w:rPr>
          <w:rFonts w:cs="Calibri"/>
          <w:bCs/>
          <w:iCs/>
          <w:szCs w:val="24"/>
          <w:lang w:val="en-GB" w:eastAsia="en-US"/>
        </w:rPr>
        <w:t>o</w:t>
      </w:r>
      <w:r w:rsidR="002B2178" w:rsidRPr="003A78F3">
        <w:rPr>
          <w:rFonts w:cs="Calibri"/>
          <w:bCs/>
          <w:iCs/>
          <w:szCs w:val="24"/>
          <w:lang w:val="en-GB" w:eastAsia="en-US"/>
        </w:rPr>
        <w:t>s</w:t>
      </w:r>
      <w:r w:rsidRPr="003A78F3">
        <w:rPr>
          <w:rFonts w:cs="Calibri"/>
          <w:bCs/>
          <w:iCs/>
          <w:szCs w:val="24"/>
          <w:lang w:val="en-GB" w:eastAsia="en-US"/>
        </w:rPr>
        <w:t>. 44/03, 52/04, 34/07, 4/08, 49/09 and 32/13)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Calibri"/>
          <w:bCs/>
          <w:iCs/>
          <w:szCs w:val="24"/>
          <w:lang w:val="en-GB" w:eastAsia="en-US"/>
        </w:rPr>
        <w:t xml:space="preserve">Law on </w:t>
      </w:r>
      <w:r w:rsidR="002B2178" w:rsidRPr="003A78F3">
        <w:rPr>
          <w:rFonts w:cs="Calibri"/>
          <w:bCs/>
          <w:iCs/>
          <w:szCs w:val="24"/>
          <w:lang w:val="en-GB" w:eastAsia="en-US"/>
        </w:rPr>
        <w:t>P</w:t>
      </w:r>
      <w:r w:rsidRPr="003A78F3">
        <w:rPr>
          <w:rFonts w:cs="Calibri"/>
          <w:bCs/>
          <w:iCs/>
          <w:szCs w:val="24"/>
          <w:lang w:val="en-GB" w:eastAsia="en-US"/>
        </w:rPr>
        <w:t xml:space="preserve">ayments </w:t>
      </w:r>
      <w:r w:rsidR="002B2178" w:rsidRPr="003A78F3">
        <w:rPr>
          <w:rFonts w:cs="Calibri"/>
          <w:bCs/>
          <w:iCs/>
          <w:szCs w:val="24"/>
          <w:lang w:val="en-GB" w:eastAsia="en-US"/>
        </w:rPr>
        <w:t>in</w:t>
      </w:r>
      <w:r w:rsidRPr="003A78F3">
        <w:rPr>
          <w:rFonts w:cs="Calibri"/>
          <w:bCs/>
          <w:iCs/>
          <w:szCs w:val="24"/>
          <w:lang w:val="en-GB" w:eastAsia="en-US"/>
        </w:rPr>
        <w:t xml:space="preserve">to </w:t>
      </w:r>
      <w:r w:rsidR="002B2178" w:rsidRPr="003A78F3">
        <w:rPr>
          <w:rFonts w:cs="Calibri"/>
          <w:bCs/>
          <w:iCs/>
          <w:szCs w:val="24"/>
          <w:lang w:val="en-GB" w:eastAsia="en-US"/>
        </w:rPr>
        <w:t xml:space="preserve">the Single Account </w:t>
      </w:r>
      <w:r w:rsidRPr="003A78F3">
        <w:rPr>
          <w:rFonts w:cs="Calibri"/>
          <w:bCs/>
          <w:iCs/>
          <w:szCs w:val="24"/>
          <w:lang w:val="en-GB" w:eastAsia="en-US"/>
        </w:rPr>
        <w:t xml:space="preserve">and </w:t>
      </w:r>
      <w:r w:rsidR="002B2178" w:rsidRPr="003A78F3">
        <w:rPr>
          <w:rFonts w:cs="Calibri"/>
          <w:bCs/>
          <w:iCs/>
          <w:szCs w:val="24"/>
          <w:lang w:val="en-GB" w:eastAsia="en-US"/>
        </w:rPr>
        <w:t>Distribution of R</w:t>
      </w:r>
      <w:r w:rsidRPr="003A78F3">
        <w:rPr>
          <w:rFonts w:cs="Calibri"/>
          <w:bCs/>
          <w:iCs/>
          <w:szCs w:val="24"/>
          <w:lang w:val="en-GB" w:eastAsia="en-US"/>
        </w:rPr>
        <w:t xml:space="preserve">evenues </w:t>
      </w:r>
      <w:r w:rsidR="00D06646" w:rsidRPr="003A78F3">
        <w:rPr>
          <w:rFonts w:cs="Calibri"/>
          <w:bCs/>
          <w:iCs/>
          <w:szCs w:val="24"/>
          <w:lang w:val="en-GB" w:eastAsia="en-US"/>
        </w:rPr>
        <w:t>(</w:t>
      </w:r>
      <w:r w:rsidR="002B2178" w:rsidRPr="003A78F3">
        <w:rPr>
          <w:rFonts w:cs="Calibri"/>
          <w:bCs/>
          <w:iCs/>
          <w:szCs w:val="24"/>
          <w:lang w:val="en-GB" w:eastAsia="en-US"/>
        </w:rPr>
        <w:t>“</w:t>
      </w:r>
      <w:r w:rsidRPr="003A78F3">
        <w:rPr>
          <w:rFonts w:cs="Calibri"/>
          <w:bCs/>
          <w:iCs/>
          <w:szCs w:val="24"/>
          <w:lang w:val="en-GB" w:eastAsia="en-US"/>
        </w:rPr>
        <w:t>Official Gazette of BiH</w:t>
      </w:r>
      <w:r w:rsidR="002B2178" w:rsidRPr="003A78F3">
        <w:rPr>
          <w:rFonts w:cs="Calibri"/>
          <w:bCs/>
          <w:iCs/>
          <w:szCs w:val="24"/>
          <w:lang w:val="en-GB" w:eastAsia="en-US"/>
        </w:rPr>
        <w:t>”,</w:t>
      </w:r>
      <w:r w:rsidRPr="003A78F3">
        <w:rPr>
          <w:rFonts w:cs="Calibri"/>
          <w:bCs/>
          <w:iCs/>
          <w:szCs w:val="24"/>
          <w:lang w:val="en-GB" w:eastAsia="en-US"/>
        </w:rPr>
        <w:t xml:space="preserve"> </w:t>
      </w:r>
      <w:r w:rsidR="00137C3A" w:rsidRPr="003A78F3">
        <w:rPr>
          <w:rFonts w:cs="Calibri"/>
          <w:bCs/>
          <w:iCs/>
          <w:szCs w:val="24"/>
          <w:lang w:val="en-GB" w:eastAsia="en-US"/>
        </w:rPr>
        <w:t>N</w:t>
      </w:r>
      <w:r w:rsidRPr="003A78F3">
        <w:rPr>
          <w:rFonts w:cs="Calibri"/>
          <w:bCs/>
          <w:iCs/>
          <w:szCs w:val="24"/>
          <w:lang w:val="en-GB" w:eastAsia="en-US"/>
        </w:rPr>
        <w:t>o</w:t>
      </w:r>
      <w:r w:rsidR="002B2178" w:rsidRPr="003A78F3">
        <w:rPr>
          <w:rFonts w:cs="Calibri"/>
          <w:bCs/>
          <w:iCs/>
          <w:szCs w:val="24"/>
          <w:lang w:val="en-GB" w:eastAsia="en-US"/>
        </w:rPr>
        <w:t>s</w:t>
      </w:r>
      <w:r w:rsidRPr="003A78F3">
        <w:rPr>
          <w:rFonts w:cs="Calibri"/>
          <w:bCs/>
          <w:iCs/>
          <w:szCs w:val="24"/>
          <w:lang w:val="en-GB" w:eastAsia="en-US"/>
        </w:rPr>
        <w:t xml:space="preserve">. </w:t>
      </w:r>
      <w:hyperlink r:id="rId15" w:tgtFrame="http://www.new.uino.gov.ba/bs/_blank" w:history="1">
        <w:r w:rsidRPr="003A78F3">
          <w:rPr>
            <w:rFonts w:cs="Calibri"/>
            <w:bCs/>
            <w:iCs/>
            <w:szCs w:val="24"/>
            <w:lang w:val="en-GB" w:eastAsia="en-US"/>
          </w:rPr>
          <w:t>55/04</w:t>
        </w:r>
      </w:hyperlink>
      <w:r w:rsidRPr="003A78F3">
        <w:rPr>
          <w:rFonts w:cs="Calibri"/>
          <w:bCs/>
          <w:iCs/>
          <w:szCs w:val="24"/>
          <w:lang w:val="en-GB" w:eastAsia="en-US"/>
        </w:rPr>
        <w:t>, 34/07 and 49/09)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lang w:val="en-GB"/>
        </w:rPr>
        <w:t xml:space="preserve">Law on Financing </w:t>
      </w:r>
      <w:r w:rsidR="002B2178" w:rsidRPr="003A78F3">
        <w:rPr>
          <w:rFonts w:cs="Arial"/>
          <w:lang w:val="en-GB"/>
        </w:rPr>
        <w:t xml:space="preserve">the </w:t>
      </w:r>
      <w:r w:rsidRPr="003A78F3">
        <w:rPr>
          <w:rFonts w:cs="Arial"/>
          <w:lang w:val="en-GB"/>
        </w:rPr>
        <w:t xml:space="preserve">Institutions of Bosnia and Herzegovina </w:t>
      </w:r>
      <w:r w:rsidR="002B2178" w:rsidRPr="003A78F3">
        <w:rPr>
          <w:rFonts w:cs="Arial"/>
          <w:lang w:val="en-GB"/>
        </w:rPr>
        <w:t>(“Official Gazette of BiH”</w:t>
      </w:r>
      <w:r w:rsidRPr="003A78F3">
        <w:rPr>
          <w:rFonts w:cs="Arial"/>
          <w:lang w:val="en-GB"/>
        </w:rPr>
        <w:t>, No</w:t>
      </w:r>
      <w:r w:rsidR="00137C3A" w:rsidRPr="003A78F3">
        <w:rPr>
          <w:rFonts w:cs="Arial"/>
          <w:lang w:val="en-GB"/>
        </w:rPr>
        <w:t>s</w:t>
      </w:r>
      <w:r w:rsidRPr="003A78F3">
        <w:rPr>
          <w:rFonts w:cs="Arial"/>
          <w:lang w:val="en-GB"/>
        </w:rPr>
        <w:t>. 61/04, 49/09)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lang w:val="en-GB"/>
        </w:rPr>
        <w:t xml:space="preserve">Law on the Council of Ministers of Bosnia and Herzegovina </w:t>
      </w:r>
      <w:r w:rsidR="002B2178" w:rsidRPr="003A78F3">
        <w:rPr>
          <w:rFonts w:cs="Arial"/>
          <w:lang w:val="en-GB"/>
        </w:rPr>
        <w:t>(“Official Gazette of BiH”</w:t>
      </w:r>
      <w:r w:rsidRPr="003A78F3">
        <w:rPr>
          <w:rFonts w:cs="Arial"/>
          <w:lang w:val="en-GB"/>
        </w:rPr>
        <w:t xml:space="preserve">, </w:t>
      </w:r>
      <w:r w:rsidR="0022529D" w:rsidRPr="003A78F3">
        <w:rPr>
          <w:rFonts w:cs="Arial"/>
          <w:lang w:val="en-GB"/>
        </w:rPr>
        <w:t>No</w:t>
      </w:r>
      <w:r w:rsidR="00137C3A" w:rsidRPr="003A78F3">
        <w:rPr>
          <w:rFonts w:cs="Arial"/>
          <w:lang w:val="en-GB"/>
        </w:rPr>
        <w:t>s</w:t>
      </w:r>
      <w:r w:rsidR="0022529D" w:rsidRPr="003A78F3">
        <w:rPr>
          <w:rFonts w:cs="Arial"/>
          <w:lang w:val="en-GB"/>
        </w:rPr>
        <w:t>.</w:t>
      </w:r>
      <w:r w:rsidRPr="003A78F3">
        <w:rPr>
          <w:rFonts w:cs="Arial"/>
          <w:lang w:val="en-GB"/>
        </w:rPr>
        <w:t xml:space="preserve"> 30/03, 42/03, 81/06, 76/07, 81/07, 94/07 and 24/08)</w:t>
      </w:r>
    </w:p>
    <w:p w:rsidR="00A97C31" w:rsidRPr="003A78F3" w:rsidRDefault="00B94524" w:rsidP="00403657">
      <w:pPr>
        <w:widowControl/>
        <w:spacing w:line="240" w:lineRule="auto"/>
        <w:ind w:left="360"/>
        <w:jc w:val="both"/>
        <w:rPr>
          <w:b/>
          <w:lang w:val="en-GB"/>
        </w:rPr>
      </w:pPr>
      <w:r w:rsidRPr="003A78F3">
        <w:rPr>
          <w:b/>
          <w:lang w:val="en-GB"/>
        </w:rPr>
        <w:t>Brčko</w:t>
      </w:r>
      <w:r w:rsidR="00D06646" w:rsidRPr="003A78F3">
        <w:rPr>
          <w:b/>
          <w:lang w:val="en-GB"/>
        </w:rPr>
        <w:t xml:space="preserve"> D</w:t>
      </w:r>
      <w:r w:rsidR="00622566" w:rsidRPr="003A78F3">
        <w:rPr>
          <w:b/>
          <w:lang w:val="en-GB"/>
        </w:rPr>
        <w:t>istrict</w:t>
      </w:r>
    </w:p>
    <w:p w:rsidR="00A97C31" w:rsidRPr="003A78F3" w:rsidRDefault="00137C3A" w:rsidP="00403657">
      <w:pPr>
        <w:widowControl/>
        <w:numPr>
          <w:ilvl w:val="0"/>
          <w:numId w:val="5"/>
        </w:numPr>
        <w:spacing w:line="240" w:lineRule="auto"/>
        <w:jc w:val="both"/>
        <w:rPr>
          <w:lang w:val="en-GB"/>
        </w:rPr>
      </w:pPr>
      <w:r w:rsidRPr="003A78F3">
        <w:rPr>
          <w:lang w:val="en-GB"/>
        </w:rPr>
        <w:t xml:space="preserve">Budget </w:t>
      </w:r>
      <w:r w:rsidR="00622566" w:rsidRPr="003A78F3">
        <w:rPr>
          <w:lang w:val="en-GB"/>
        </w:rPr>
        <w:t xml:space="preserve">Law of </w:t>
      </w:r>
      <w:r w:rsidRPr="003A78F3">
        <w:rPr>
          <w:lang w:val="en-GB"/>
        </w:rPr>
        <w:t xml:space="preserve">the </w:t>
      </w:r>
      <w:r w:rsidR="00B94524" w:rsidRPr="003A78F3">
        <w:rPr>
          <w:lang w:val="en-GB"/>
        </w:rPr>
        <w:t>Brčko</w:t>
      </w:r>
      <w:r w:rsidR="00622566" w:rsidRPr="003A78F3">
        <w:rPr>
          <w:lang w:val="en-GB"/>
        </w:rPr>
        <w:t xml:space="preserve"> District of BiH </w:t>
      </w:r>
      <w:r w:rsidR="00D06646" w:rsidRPr="003A78F3">
        <w:rPr>
          <w:lang w:val="en-GB"/>
        </w:rPr>
        <w:t>(</w:t>
      </w:r>
      <w:r w:rsidRPr="003A78F3">
        <w:rPr>
          <w:lang w:val="en-GB"/>
        </w:rPr>
        <w:t>“</w:t>
      </w:r>
      <w:r w:rsidR="00622566" w:rsidRPr="003A78F3">
        <w:rPr>
          <w:lang w:val="en-GB"/>
        </w:rPr>
        <w:t xml:space="preserve">Official Gazette of the </w:t>
      </w:r>
      <w:r w:rsidR="00B94524" w:rsidRPr="003A78F3">
        <w:rPr>
          <w:lang w:val="en-GB"/>
        </w:rPr>
        <w:t>Brčko</w:t>
      </w:r>
      <w:r w:rsidR="00622566" w:rsidRPr="003A78F3">
        <w:rPr>
          <w:lang w:val="en-GB"/>
        </w:rPr>
        <w:t xml:space="preserve"> District of BiH</w:t>
      </w:r>
      <w:r w:rsidRPr="003A78F3">
        <w:rPr>
          <w:lang w:val="en-GB"/>
        </w:rPr>
        <w:t>”</w:t>
      </w:r>
      <w:r w:rsidR="00622566" w:rsidRPr="003A78F3">
        <w:rPr>
          <w:lang w:val="en-GB"/>
        </w:rPr>
        <w:t>, No</w:t>
      </w:r>
      <w:r w:rsidRPr="003A78F3">
        <w:rPr>
          <w:lang w:val="en-GB"/>
        </w:rPr>
        <w:t>.</w:t>
      </w:r>
      <w:r w:rsidR="00622566" w:rsidRPr="003A78F3">
        <w:rPr>
          <w:lang w:val="en-GB"/>
        </w:rPr>
        <w:t xml:space="preserve"> 34/08);</w:t>
      </w:r>
    </w:p>
    <w:p w:rsidR="00A97C31" w:rsidRPr="003A78F3" w:rsidRDefault="00137C3A" w:rsidP="00403657">
      <w:pPr>
        <w:widowControl/>
        <w:numPr>
          <w:ilvl w:val="0"/>
          <w:numId w:val="5"/>
        </w:numPr>
        <w:spacing w:line="240" w:lineRule="auto"/>
        <w:jc w:val="both"/>
        <w:rPr>
          <w:lang w:val="en-GB"/>
        </w:rPr>
      </w:pPr>
      <w:r w:rsidRPr="003A78F3">
        <w:rPr>
          <w:lang w:val="en-GB"/>
        </w:rPr>
        <w:t xml:space="preserve">Treasury </w:t>
      </w:r>
      <w:r w:rsidR="00622566" w:rsidRPr="003A78F3">
        <w:rPr>
          <w:lang w:val="en-GB"/>
        </w:rPr>
        <w:t>Law o</w:t>
      </w:r>
      <w:r w:rsidRPr="003A78F3">
        <w:rPr>
          <w:lang w:val="en-GB"/>
        </w:rPr>
        <w:t>f the</w:t>
      </w:r>
      <w:r w:rsidR="00622566" w:rsidRPr="003A78F3">
        <w:rPr>
          <w:lang w:val="en-GB"/>
        </w:rPr>
        <w:t xml:space="preserve"> </w:t>
      </w:r>
      <w:r w:rsidR="00B94524" w:rsidRPr="003A78F3">
        <w:rPr>
          <w:lang w:val="en-GB"/>
        </w:rPr>
        <w:t>Brčko</w:t>
      </w:r>
      <w:r w:rsidR="00622566" w:rsidRPr="003A78F3">
        <w:rPr>
          <w:lang w:val="en-GB"/>
        </w:rPr>
        <w:t xml:space="preserve"> District of BiH </w:t>
      </w:r>
      <w:r w:rsidRPr="003A78F3">
        <w:rPr>
          <w:lang w:val="en-GB"/>
        </w:rPr>
        <w:t>(“Official Gazette of the Brčko District of BiH”</w:t>
      </w:r>
      <w:r w:rsidR="00622566" w:rsidRPr="003A78F3">
        <w:rPr>
          <w:lang w:val="en-GB"/>
        </w:rPr>
        <w:t>, No</w:t>
      </w:r>
      <w:r w:rsidRPr="003A78F3">
        <w:rPr>
          <w:lang w:val="en-GB"/>
        </w:rPr>
        <w:t>s.</w:t>
      </w:r>
      <w:r w:rsidR="00622566" w:rsidRPr="003A78F3">
        <w:rPr>
          <w:lang w:val="en-GB"/>
        </w:rPr>
        <w:t xml:space="preserve"> 03/07</w:t>
      </w:r>
      <w:r w:rsidRPr="003A78F3">
        <w:rPr>
          <w:lang w:val="en-GB"/>
        </w:rPr>
        <w:t>,</w:t>
      </w:r>
      <w:r w:rsidR="00622566" w:rsidRPr="003A78F3">
        <w:rPr>
          <w:lang w:val="en-GB"/>
        </w:rPr>
        <w:t xml:space="preserve"> 19/07</w:t>
      </w:r>
      <w:r w:rsidRPr="003A78F3">
        <w:rPr>
          <w:lang w:val="en-GB"/>
        </w:rPr>
        <w:t>,</w:t>
      </w:r>
      <w:r w:rsidR="00622566" w:rsidRPr="003A78F3">
        <w:rPr>
          <w:lang w:val="en-GB"/>
        </w:rPr>
        <w:t xml:space="preserve"> 02/08);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lang w:val="en-GB"/>
        </w:rPr>
      </w:pPr>
      <w:r w:rsidRPr="003A78F3">
        <w:rPr>
          <w:lang w:val="en-GB"/>
        </w:rPr>
        <w:t xml:space="preserve">Law on Accounting and Auditing of the </w:t>
      </w:r>
      <w:r w:rsidR="00B94524" w:rsidRPr="003A78F3">
        <w:rPr>
          <w:lang w:val="en-GB"/>
        </w:rPr>
        <w:t>Brčko</w:t>
      </w:r>
      <w:r w:rsidRPr="003A78F3">
        <w:rPr>
          <w:lang w:val="en-GB"/>
        </w:rPr>
        <w:t xml:space="preserve"> District of BiH </w:t>
      </w:r>
      <w:r w:rsidR="00137C3A" w:rsidRPr="003A78F3">
        <w:rPr>
          <w:lang w:val="en-GB"/>
        </w:rPr>
        <w:t>(“Official Gazette of the Brčko District of BiH”</w:t>
      </w:r>
      <w:r w:rsidRPr="003A78F3">
        <w:rPr>
          <w:lang w:val="en-GB"/>
        </w:rPr>
        <w:t>, No</w:t>
      </w:r>
      <w:r w:rsidR="00137C3A" w:rsidRPr="003A78F3">
        <w:rPr>
          <w:lang w:val="en-GB"/>
        </w:rPr>
        <w:t>s.</w:t>
      </w:r>
      <w:r w:rsidRPr="003A78F3">
        <w:rPr>
          <w:lang w:val="en-GB"/>
        </w:rPr>
        <w:t xml:space="preserve"> 06/06, 19/07);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lang w:val="en-GB"/>
        </w:rPr>
      </w:pPr>
      <w:r w:rsidRPr="003A78F3">
        <w:rPr>
          <w:lang w:val="en-GB"/>
        </w:rPr>
        <w:t xml:space="preserve">Decree on Budget Accounting </w:t>
      </w:r>
      <w:r w:rsidR="00137C3A" w:rsidRPr="003A78F3">
        <w:rPr>
          <w:lang w:val="en-GB"/>
        </w:rPr>
        <w:t xml:space="preserve">of the </w:t>
      </w:r>
      <w:r w:rsidR="00B94524" w:rsidRPr="003A78F3">
        <w:rPr>
          <w:lang w:val="en-GB"/>
        </w:rPr>
        <w:t>Brčko</w:t>
      </w:r>
      <w:r w:rsidRPr="003A78F3">
        <w:rPr>
          <w:lang w:val="en-GB"/>
        </w:rPr>
        <w:t xml:space="preserve"> District of BiH </w:t>
      </w:r>
      <w:r w:rsidR="00137C3A" w:rsidRPr="003A78F3">
        <w:rPr>
          <w:lang w:val="en-GB"/>
        </w:rPr>
        <w:t>(“Official Gazette of the Brčko District of BiH”</w:t>
      </w:r>
      <w:r w:rsidRPr="003A78F3">
        <w:rPr>
          <w:lang w:val="en-GB"/>
        </w:rPr>
        <w:t xml:space="preserve">, </w:t>
      </w:r>
      <w:r w:rsidR="00137C3A" w:rsidRPr="003A78F3">
        <w:rPr>
          <w:lang w:val="en-GB"/>
        </w:rPr>
        <w:t>N</w:t>
      </w:r>
      <w:r w:rsidRPr="003A78F3">
        <w:rPr>
          <w:lang w:val="en-GB"/>
        </w:rPr>
        <w:t>o. 25/07);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lang w:val="en-GB"/>
        </w:rPr>
      </w:pPr>
      <w:r w:rsidRPr="003A78F3">
        <w:rPr>
          <w:lang w:val="en-GB"/>
        </w:rPr>
        <w:t xml:space="preserve">Rules on </w:t>
      </w:r>
      <w:r w:rsidR="00137C3A" w:rsidRPr="003A78F3">
        <w:rPr>
          <w:lang w:val="en-GB"/>
        </w:rPr>
        <w:t xml:space="preserve">Budget Reporting </w:t>
      </w:r>
      <w:r w:rsidRPr="003A78F3">
        <w:rPr>
          <w:lang w:val="en-GB"/>
        </w:rPr>
        <w:t xml:space="preserve">and </w:t>
      </w:r>
      <w:r w:rsidR="00137C3A" w:rsidRPr="003A78F3">
        <w:rPr>
          <w:lang w:val="en-GB"/>
        </w:rPr>
        <w:t xml:space="preserve">Annual Budget Account </w:t>
      </w:r>
      <w:r w:rsidRPr="003A78F3">
        <w:rPr>
          <w:lang w:val="en-GB"/>
        </w:rPr>
        <w:t xml:space="preserve">of the </w:t>
      </w:r>
      <w:r w:rsidR="00B94524" w:rsidRPr="003A78F3">
        <w:rPr>
          <w:lang w:val="en-GB"/>
        </w:rPr>
        <w:t>Brčko</w:t>
      </w:r>
      <w:r w:rsidRPr="003A78F3">
        <w:rPr>
          <w:lang w:val="en-GB"/>
        </w:rPr>
        <w:t xml:space="preserve"> District of BiH </w:t>
      </w:r>
      <w:r w:rsidR="00137C3A" w:rsidRPr="003A78F3">
        <w:rPr>
          <w:lang w:val="en-GB"/>
        </w:rPr>
        <w:t>(“Official Gazette of the Brčko District of BiH”</w:t>
      </w:r>
      <w:r w:rsidRPr="003A78F3">
        <w:rPr>
          <w:lang w:val="en-GB"/>
        </w:rPr>
        <w:t>)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eastAsia="Arial Unicode MS"/>
          <w:lang w:val="en-GB"/>
        </w:rPr>
      </w:pPr>
      <w:r w:rsidRPr="003A78F3">
        <w:rPr>
          <w:lang w:val="en-GB"/>
        </w:rPr>
        <w:t xml:space="preserve">Decision on </w:t>
      </w:r>
      <w:r w:rsidR="00137C3A" w:rsidRPr="003A78F3">
        <w:rPr>
          <w:lang w:val="en-GB"/>
        </w:rPr>
        <w:t xml:space="preserve">Accounting Policy </w:t>
      </w:r>
      <w:r w:rsidRPr="003A78F3">
        <w:rPr>
          <w:lang w:val="en-GB"/>
        </w:rPr>
        <w:t xml:space="preserve">for </w:t>
      </w:r>
      <w:r w:rsidR="00137C3A" w:rsidRPr="003A78F3">
        <w:rPr>
          <w:lang w:val="en-GB"/>
        </w:rPr>
        <w:t xml:space="preserve">the Budget Beneficiaries </w:t>
      </w:r>
      <w:r w:rsidRPr="003A78F3">
        <w:rPr>
          <w:lang w:val="en-GB"/>
        </w:rPr>
        <w:t>and the Treasury</w:t>
      </w:r>
      <w:r w:rsidR="00137C3A" w:rsidRPr="003A78F3">
        <w:rPr>
          <w:lang w:val="en-GB"/>
        </w:rPr>
        <w:t xml:space="preserve"> of the</w:t>
      </w:r>
      <w:r w:rsidRPr="003A78F3">
        <w:rPr>
          <w:lang w:val="en-GB"/>
        </w:rPr>
        <w:t xml:space="preserve"> </w:t>
      </w:r>
      <w:r w:rsidR="00B94524" w:rsidRPr="003A78F3">
        <w:rPr>
          <w:lang w:val="en-GB"/>
        </w:rPr>
        <w:t>Brčko</w:t>
      </w:r>
      <w:r w:rsidRPr="003A78F3">
        <w:rPr>
          <w:lang w:val="en-GB"/>
        </w:rPr>
        <w:t xml:space="preserve"> District of BiH </w:t>
      </w:r>
      <w:r w:rsidR="00137C3A" w:rsidRPr="003A78F3">
        <w:rPr>
          <w:lang w:val="en-GB"/>
        </w:rPr>
        <w:t>(“Official Gazette of the Brčko District of BiH”</w:t>
      </w:r>
      <w:r w:rsidRPr="003A78F3">
        <w:rPr>
          <w:lang w:val="en-GB"/>
        </w:rPr>
        <w:t>)</w:t>
      </w:r>
    </w:p>
    <w:p w:rsidR="00A97C31" w:rsidRPr="003A78F3" w:rsidRDefault="00622566" w:rsidP="00403657">
      <w:pPr>
        <w:spacing w:line="240" w:lineRule="auto"/>
        <w:rPr>
          <w:b/>
          <w:lang w:val="en-GB" w:eastAsia="ja-JP"/>
        </w:rPr>
      </w:pPr>
      <w:r w:rsidRPr="003A78F3">
        <w:rPr>
          <w:b/>
          <w:lang w:val="en-GB" w:eastAsia="ja-JP"/>
        </w:rPr>
        <w:t xml:space="preserve">  Federation of BiH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lang w:val="en-GB"/>
        </w:rPr>
      </w:pPr>
      <w:r w:rsidRPr="003A78F3">
        <w:rPr>
          <w:lang w:val="en-GB"/>
        </w:rPr>
        <w:t xml:space="preserve">Law on Budgets in the Federation of BiH </w:t>
      </w:r>
      <w:r w:rsidR="00137C3A" w:rsidRPr="003A78F3">
        <w:rPr>
          <w:lang w:val="en-GB"/>
        </w:rPr>
        <w:t>(“</w:t>
      </w:r>
      <w:r w:rsidRPr="003A78F3">
        <w:rPr>
          <w:lang w:val="en-GB"/>
        </w:rPr>
        <w:t xml:space="preserve">Official Gazette of </w:t>
      </w:r>
      <w:r w:rsidR="00F35A11" w:rsidRPr="003A78F3">
        <w:rPr>
          <w:lang w:val="en-GB"/>
        </w:rPr>
        <w:t>F</w:t>
      </w:r>
      <w:r w:rsidRPr="003A78F3">
        <w:rPr>
          <w:lang w:val="en-GB"/>
        </w:rPr>
        <w:t>BiH</w:t>
      </w:r>
      <w:r w:rsidR="00137C3A" w:rsidRPr="003A78F3">
        <w:rPr>
          <w:lang w:val="en-GB"/>
        </w:rPr>
        <w:t>”</w:t>
      </w:r>
      <w:r w:rsidRPr="003A78F3">
        <w:rPr>
          <w:lang w:val="en-GB"/>
        </w:rPr>
        <w:t xml:space="preserve">, </w:t>
      </w:r>
      <w:r w:rsidR="003C01A1" w:rsidRPr="003A78F3">
        <w:rPr>
          <w:lang w:val="en-GB"/>
        </w:rPr>
        <w:t>Nos.</w:t>
      </w:r>
      <w:r w:rsidRPr="003A78F3">
        <w:rPr>
          <w:lang w:val="en-GB"/>
        </w:rPr>
        <w:t xml:space="preserve"> 102/13, 9</w:t>
      </w:r>
      <w:r w:rsidR="00D06646" w:rsidRPr="003A78F3">
        <w:rPr>
          <w:lang w:val="en-GB"/>
        </w:rPr>
        <w:t>/</w:t>
      </w:r>
      <w:r w:rsidRPr="003A78F3">
        <w:rPr>
          <w:lang w:val="en-GB"/>
        </w:rPr>
        <w:t>14,13</w:t>
      </w:r>
      <w:r w:rsidR="00D06646" w:rsidRPr="003A78F3">
        <w:rPr>
          <w:lang w:val="en-GB"/>
        </w:rPr>
        <w:t>/</w:t>
      </w:r>
      <w:r w:rsidRPr="003A78F3">
        <w:rPr>
          <w:lang w:val="en-GB"/>
        </w:rPr>
        <w:t>14 and 8/15)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Calibri"/>
          <w:bCs/>
          <w:iCs/>
          <w:szCs w:val="24"/>
          <w:lang w:val="en-GB" w:eastAsia="en-US"/>
        </w:rPr>
        <w:t xml:space="preserve">Law on </w:t>
      </w:r>
      <w:r w:rsidR="003C01A1" w:rsidRPr="003A78F3">
        <w:rPr>
          <w:rFonts w:cs="Calibri"/>
          <w:bCs/>
          <w:iCs/>
          <w:szCs w:val="24"/>
          <w:lang w:val="en-GB" w:eastAsia="en-US"/>
        </w:rPr>
        <w:t xml:space="preserve">Allocation of </w:t>
      </w:r>
      <w:r w:rsidRPr="003A78F3">
        <w:rPr>
          <w:rFonts w:cs="Calibri"/>
          <w:bCs/>
          <w:iCs/>
          <w:szCs w:val="24"/>
          <w:lang w:val="en-GB" w:eastAsia="en-US"/>
        </w:rPr>
        <w:t>Public Revenues</w:t>
      </w:r>
      <w:r w:rsidR="003C01A1" w:rsidRPr="003A78F3">
        <w:rPr>
          <w:rFonts w:cs="Calibri"/>
          <w:bCs/>
          <w:iCs/>
          <w:szCs w:val="24"/>
          <w:lang w:val="en-GB" w:eastAsia="en-US"/>
        </w:rPr>
        <w:t xml:space="preserve"> of</w:t>
      </w:r>
      <w:r w:rsidRPr="003A78F3">
        <w:rPr>
          <w:rFonts w:cs="Calibri"/>
          <w:bCs/>
          <w:iCs/>
          <w:szCs w:val="24"/>
          <w:lang w:val="en-GB" w:eastAsia="en-US"/>
        </w:rPr>
        <w:t xml:space="preserve"> FBiH </w:t>
      </w:r>
      <w:r w:rsidR="00137C3A" w:rsidRPr="003A78F3">
        <w:rPr>
          <w:rFonts w:cs="Calibri"/>
          <w:bCs/>
          <w:iCs/>
          <w:szCs w:val="24"/>
          <w:lang w:val="en-GB" w:eastAsia="en-US"/>
        </w:rPr>
        <w:t xml:space="preserve">(“Official Gazette of </w:t>
      </w:r>
      <w:r w:rsidR="00F35A11" w:rsidRPr="003A78F3">
        <w:rPr>
          <w:rFonts w:cs="Calibri"/>
          <w:bCs/>
          <w:iCs/>
          <w:szCs w:val="24"/>
          <w:lang w:val="en-GB" w:eastAsia="en-US"/>
        </w:rPr>
        <w:t>F</w:t>
      </w:r>
      <w:r w:rsidR="00137C3A" w:rsidRPr="003A78F3">
        <w:rPr>
          <w:rFonts w:cs="Calibri"/>
          <w:bCs/>
          <w:iCs/>
          <w:szCs w:val="24"/>
          <w:lang w:val="en-GB" w:eastAsia="en-US"/>
        </w:rPr>
        <w:t>BiH”</w:t>
      </w:r>
      <w:r w:rsidRPr="003A78F3">
        <w:rPr>
          <w:rFonts w:cs="Calibri"/>
          <w:bCs/>
          <w:iCs/>
          <w:szCs w:val="24"/>
          <w:lang w:val="en-GB" w:eastAsia="en-US"/>
        </w:rPr>
        <w:t>, Nos. 22/06, 43/08, 22/09, 35/14 and 98/15)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lang w:val="en-GB"/>
        </w:rPr>
        <w:t xml:space="preserve">Law on Accounting and Auditing in FBiH </w:t>
      </w:r>
      <w:r w:rsidR="002B2178" w:rsidRPr="003A78F3">
        <w:rPr>
          <w:rFonts w:cs="Arial"/>
          <w:lang w:val="en-GB"/>
        </w:rPr>
        <w:t>(“Official Gazette of BiH”</w:t>
      </w:r>
      <w:r w:rsidRPr="003A78F3">
        <w:rPr>
          <w:rFonts w:cs="Arial"/>
          <w:lang w:val="en-GB"/>
        </w:rPr>
        <w:t xml:space="preserve">, </w:t>
      </w:r>
      <w:r w:rsidR="00F35A11" w:rsidRPr="003A78F3">
        <w:rPr>
          <w:rFonts w:cs="Arial"/>
          <w:lang w:val="en-GB"/>
        </w:rPr>
        <w:t>N</w:t>
      </w:r>
      <w:r w:rsidRPr="003A78F3">
        <w:rPr>
          <w:rFonts w:cs="Arial"/>
          <w:lang w:val="en-GB"/>
        </w:rPr>
        <w:t>o. 83/09)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lang w:val="en-GB"/>
        </w:rPr>
      </w:pPr>
      <w:r w:rsidRPr="003A78F3">
        <w:rPr>
          <w:rFonts w:cs="Arial"/>
          <w:lang w:val="en-GB"/>
        </w:rPr>
        <w:t xml:space="preserve">Rules on Financial Reporting and Annual </w:t>
      </w:r>
      <w:r w:rsidR="00F35A11" w:rsidRPr="003A78F3">
        <w:rPr>
          <w:rFonts w:cs="Arial"/>
          <w:lang w:val="en-GB"/>
        </w:rPr>
        <w:t>B</w:t>
      </w:r>
      <w:r w:rsidRPr="003A78F3">
        <w:rPr>
          <w:rFonts w:cs="Arial"/>
          <w:lang w:val="en-GB"/>
        </w:rPr>
        <w:t>udget</w:t>
      </w:r>
      <w:r w:rsidR="00F35A11" w:rsidRPr="003A78F3">
        <w:rPr>
          <w:rFonts w:cs="Arial"/>
          <w:lang w:val="en-GB"/>
        </w:rPr>
        <w:t xml:space="preserve"> Account</w:t>
      </w:r>
      <w:r w:rsidRPr="003A78F3">
        <w:rPr>
          <w:rFonts w:cs="Arial"/>
          <w:lang w:val="en-GB"/>
        </w:rPr>
        <w:t xml:space="preserve"> in FBiH </w:t>
      </w:r>
      <w:r w:rsidR="00137C3A" w:rsidRPr="003A78F3">
        <w:rPr>
          <w:rFonts w:cs="Arial"/>
          <w:lang w:val="en-GB"/>
        </w:rPr>
        <w:t xml:space="preserve">(“Official Gazette of </w:t>
      </w:r>
      <w:r w:rsidR="00F35A11" w:rsidRPr="003A78F3">
        <w:rPr>
          <w:rFonts w:cs="Arial"/>
          <w:lang w:val="en-GB"/>
        </w:rPr>
        <w:t>F</w:t>
      </w:r>
      <w:r w:rsidR="00137C3A" w:rsidRPr="003A78F3">
        <w:rPr>
          <w:rFonts w:cs="Arial"/>
          <w:lang w:val="en-GB"/>
        </w:rPr>
        <w:t>BiH”</w:t>
      </w:r>
      <w:r w:rsidRPr="003A78F3">
        <w:rPr>
          <w:rFonts w:cs="Arial"/>
          <w:lang w:val="en-GB"/>
        </w:rPr>
        <w:t>, No. 69/14)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lang w:val="en-GB"/>
        </w:rPr>
      </w:pPr>
      <w:r w:rsidRPr="003A78F3">
        <w:rPr>
          <w:rFonts w:cs="Arial"/>
          <w:lang w:val="en-GB"/>
        </w:rPr>
        <w:t xml:space="preserve">Law on Treasury </w:t>
      </w:r>
      <w:r w:rsidR="00F35A11" w:rsidRPr="003A78F3">
        <w:rPr>
          <w:rFonts w:cs="Arial"/>
          <w:lang w:val="en-GB"/>
        </w:rPr>
        <w:t>in</w:t>
      </w:r>
      <w:r w:rsidRPr="003A78F3">
        <w:rPr>
          <w:rFonts w:cs="Arial"/>
          <w:lang w:val="en-GB"/>
        </w:rPr>
        <w:t xml:space="preserve"> FBiH </w:t>
      </w:r>
      <w:r w:rsidR="002B2178" w:rsidRPr="003A78F3">
        <w:rPr>
          <w:rFonts w:cs="Arial"/>
          <w:lang w:val="en-GB"/>
        </w:rPr>
        <w:t xml:space="preserve">(“Official Gazette of </w:t>
      </w:r>
      <w:r w:rsidR="00F35A11" w:rsidRPr="003A78F3">
        <w:rPr>
          <w:rFonts w:cs="Arial"/>
          <w:lang w:val="en-GB"/>
        </w:rPr>
        <w:t>F</w:t>
      </w:r>
      <w:r w:rsidR="002B2178" w:rsidRPr="003A78F3">
        <w:rPr>
          <w:rFonts w:cs="Arial"/>
          <w:lang w:val="en-GB"/>
        </w:rPr>
        <w:t>BiH”</w:t>
      </w:r>
      <w:r w:rsidRPr="003A78F3">
        <w:rPr>
          <w:rFonts w:cs="Arial"/>
          <w:lang w:val="en-GB"/>
        </w:rPr>
        <w:t>, No</w:t>
      </w:r>
      <w:r w:rsidR="00F35A11" w:rsidRPr="003A78F3">
        <w:rPr>
          <w:rFonts w:cs="Arial"/>
          <w:lang w:val="en-GB"/>
        </w:rPr>
        <w:t>s</w:t>
      </w:r>
      <w:r w:rsidRPr="003A78F3">
        <w:rPr>
          <w:rFonts w:cs="Arial"/>
          <w:lang w:val="en-GB"/>
        </w:rPr>
        <w:t>. 58/02, 19/03, 79/07)</w:t>
      </w:r>
    </w:p>
    <w:p w:rsidR="00A97C31" w:rsidRPr="003A78F3" w:rsidRDefault="00F35A11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lang w:val="en-GB"/>
        </w:rPr>
        <w:lastRenderedPageBreak/>
        <w:t>A</w:t>
      </w:r>
      <w:r w:rsidR="00622566" w:rsidRPr="003A78F3">
        <w:rPr>
          <w:rFonts w:cs="Arial"/>
          <w:lang w:val="en-GB"/>
        </w:rPr>
        <w:t xml:space="preserve">ccounting </w:t>
      </w:r>
      <w:r w:rsidRPr="003A78F3">
        <w:rPr>
          <w:rFonts w:cs="Arial"/>
          <w:lang w:val="en-GB"/>
        </w:rPr>
        <w:t xml:space="preserve">Policies </w:t>
      </w:r>
      <w:r w:rsidR="00622566" w:rsidRPr="003A78F3">
        <w:rPr>
          <w:rFonts w:cs="Arial"/>
          <w:lang w:val="en-GB"/>
        </w:rPr>
        <w:t xml:space="preserve">for </w:t>
      </w:r>
      <w:r w:rsidRPr="003A78F3">
        <w:rPr>
          <w:rFonts w:cs="Arial"/>
          <w:lang w:val="en-GB"/>
        </w:rPr>
        <w:t xml:space="preserve">the Budget Beneficiaries </w:t>
      </w:r>
      <w:r w:rsidR="00622566" w:rsidRPr="003A78F3">
        <w:rPr>
          <w:rFonts w:cs="Arial"/>
          <w:lang w:val="en-GB"/>
        </w:rPr>
        <w:t>and the Treasury of the Federation of BiH (</w:t>
      </w:r>
      <w:r w:rsidRPr="003A78F3">
        <w:rPr>
          <w:rFonts w:cs="Arial"/>
          <w:lang w:val="en-GB"/>
        </w:rPr>
        <w:t>“</w:t>
      </w:r>
      <w:r w:rsidR="00622566" w:rsidRPr="003A78F3">
        <w:rPr>
          <w:rFonts w:cs="Arial"/>
          <w:lang w:val="en-GB"/>
        </w:rPr>
        <w:t>Official Gazette</w:t>
      </w:r>
      <w:r w:rsidRPr="003A78F3">
        <w:rPr>
          <w:rFonts w:cs="Arial"/>
          <w:lang w:val="en-GB"/>
        </w:rPr>
        <w:t xml:space="preserve"> of</w:t>
      </w:r>
      <w:r w:rsidR="00622566" w:rsidRPr="003A78F3">
        <w:rPr>
          <w:rFonts w:cs="Arial"/>
          <w:lang w:val="en-GB"/>
        </w:rPr>
        <w:t xml:space="preserve"> </w:t>
      </w:r>
      <w:r w:rsidRPr="003A78F3">
        <w:rPr>
          <w:rFonts w:cs="Arial"/>
          <w:lang w:val="en-GB"/>
        </w:rPr>
        <w:t xml:space="preserve">FBiH”, </w:t>
      </w:r>
      <w:r w:rsidR="00622566" w:rsidRPr="003A78F3">
        <w:rPr>
          <w:rFonts w:cs="Arial"/>
          <w:lang w:val="en-GB"/>
        </w:rPr>
        <w:t>No. 9/11)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lang w:val="en-GB"/>
        </w:rPr>
      </w:pPr>
      <w:r w:rsidRPr="003A78F3">
        <w:rPr>
          <w:rFonts w:cs="Arial"/>
          <w:lang w:val="en-GB"/>
        </w:rPr>
        <w:t xml:space="preserve">Rules on </w:t>
      </w:r>
      <w:r w:rsidR="00F35A11" w:rsidRPr="003A78F3">
        <w:rPr>
          <w:rFonts w:cs="Arial"/>
          <w:lang w:val="en-GB"/>
        </w:rPr>
        <w:t xml:space="preserve">Budget </w:t>
      </w:r>
      <w:r w:rsidRPr="003A78F3">
        <w:rPr>
          <w:rFonts w:cs="Arial"/>
          <w:lang w:val="en-GB"/>
        </w:rPr>
        <w:t>Accounting in FBiH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lang w:val="en-GB"/>
        </w:rPr>
        <w:t xml:space="preserve">Rules on </w:t>
      </w:r>
      <w:r w:rsidR="00F35A11" w:rsidRPr="003A78F3">
        <w:rPr>
          <w:rFonts w:cs="Arial"/>
          <w:lang w:val="en-GB"/>
        </w:rPr>
        <w:t xml:space="preserve">Financial Reporting </w:t>
      </w:r>
      <w:r w:rsidRPr="003A78F3">
        <w:rPr>
          <w:rFonts w:cs="Arial"/>
          <w:lang w:val="en-GB"/>
        </w:rPr>
        <w:t xml:space="preserve">and </w:t>
      </w:r>
      <w:r w:rsidR="00F35A11" w:rsidRPr="003A78F3">
        <w:rPr>
          <w:rFonts w:cs="Arial"/>
          <w:lang w:val="en-GB"/>
        </w:rPr>
        <w:t xml:space="preserve">Annual Budget Account in </w:t>
      </w:r>
      <w:r w:rsidRPr="003A78F3">
        <w:rPr>
          <w:rFonts w:cs="Arial"/>
          <w:lang w:val="en-GB"/>
        </w:rPr>
        <w:t xml:space="preserve">FBiH </w:t>
      </w:r>
      <w:r w:rsidR="00137C3A" w:rsidRPr="003A78F3">
        <w:rPr>
          <w:rFonts w:cs="Arial"/>
          <w:lang w:val="en-GB"/>
        </w:rPr>
        <w:t xml:space="preserve">(“Official Gazette of </w:t>
      </w:r>
      <w:r w:rsidR="00F35A11" w:rsidRPr="003A78F3">
        <w:rPr>
          <w:rFonts w:cs="Arial"/>
          <w:lang w:val="en-GB"/>
        </w:rPr>
        <w:t>F</w:t>
      </w:r>
      <w:r w:rsidR="00137C3A" w:rsidRPr="003A78F3">
        <w:rPr>
          <w:rFonts w:cs="Arial"/>
          <w:lang w:val="en-GB"/>
        </w:rPr>
        <w:t>BiH”</w:t>
      </w:r>
      <w:r w:rsidRPr="003A78F3">
        <w:rPr>
          <w:rFonts w:cs="Arial"/>
          <w:lang w:val="en-GB"/>
        </w:rPr>
        <w:t xml:space="preserve">, </w:t>
      </w:r>
      <w:r w:rsidR="00F35A11" w:rsidRPr="003A78F3">
        <w:rPr>
          <w:rFonts w:cs="Arial"/>
          <w:lang w:val="en-GB"/>
        </w:rPr>
        <w:t>Nos.</w:t>
      </w:r>
      <w:r w:rsidRPr="003A78F3">
        <w:rPr>
          <w:rFonts w:cs="Arial"/>
          <w:lang w:val="en-GB"/>
        </w:rPr>
        <w:t xml:space="preserve"> 69/14, 14/15)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lang w:val="en-GB"/>
        </w:rPr>
        <w:t xml:space="preserve">Rules on the </w:t>
      </w:r>
      <w:r w:rsidR="002E57B8" w:rsidRPr="003A78F3">
        <w:rPr>
          <w:rFonts w:cs="Arial"/>
          <w:lang w:val="en-GB"/>
        </w:rPr>
        <w:t xml:space="preserve">Payment </w:t>
      </w:r>
      <w:r w:rsidRPr="003A78F3">
        <w:rPr>
          <w:rFonts w:cs="Arial"/>
          <w:lang w:val="en-GB"/>
        </w:rPr>
        <w:t xml:space="preserve">of </w:t>
      </w:r>
      <w:r w:rsidR="002E57B8" w:rsidRPr="003A78F3">
        <w:rPr>
          <w:rFonts w:cs="Arial"/>
          <w:lang w:val="en-GB"/>
        </w:rPr>
        <w:t xml:space="preserve">Public Revenues </w:t>
      </w:r>
      <w:r w:rsidRPr="003A78F3">
        <w:rPr>
          <w:rFonts w:cs="Arial"/>
          <w:lang w:val="en-GB"/>
        </w:rPr>
        <w:t xml:space="preserve">of the </w:t>
      </w:r>
      <w:r w:rsidR="002E57B8" w:rsidRPr="003A78F3">
        <w:rPr>
          <w:rFonts w:cs="Arial"/>
          <w:lang w:val="en-GB"/>
        </w:rPr>
        <w:t xml:space="preserve">Budget </w:t>
      </w:r>
      <w:r w:rsidRPr="003A78F3">
        <w:rPr>
          <w:rFonts w:cs="Arial"/>
          <w:lang w:val="en-GB"/>
        </w:rPr>
        <w:t xml:space="preserve">and </w:t>
      </w:r>
      <w:r w:rsidR="002E57B8" w:rsidRPr="003A78F3">
        <w:rPr>
          <w:rFonts w:cs="Arial"/>
          <w:lang w:val="en-GB"/>
        </w:rPr>
        <w:t>Extra</w:t>
      </w:r>
      <w:r w:rsidRPr="003A78F3">
        <w:rPr>
          <w:rFonts w:cs="Arial"/>
          <w:lang w:val="en-GB"/>
        </w:rPr>
        <w:t xml:space="preserve">-budgetary </w:t>
      </w:r>
      <w:r w:rsidR="002E57B8" w:rsidRPr="003A78F3">
        <w:rPr>
          <w:rFonts w:cs="Arial"/>
          <w:lang w:val="en-GB"/>
        </w:rPr>
        <w:t xml:space="preserve">Funds </w:t>
      </w:r>
      <w:r w:rsidRPr="003A78F3">
        <w:rPr>
          <w:rFonts w:cs="Arial"/>
          <w:lang w:val="en-GB"/>
        </w:rPr>
        <w:t xml:space="preserve">in the </w:t>
      </w:r>
      <w:r w:rsidR="002E57B8" w:rsidRPr="003A78F3">
        <w:rPr>
          <w:rFonts w:cs="Arial"/>
          <w:lang w:val="en-GB"/>
        </w:rPr>
        <w:t xml:space="preserve">Territory </w:t>
      </w:r>
      <w:r w:rsidRPr="003A78F3">
        <w:rPr>
          <w:rFonts w:cs="Arial"/>
          <w:lang w:val="en-GB"/>
        </w:rPr>
        <w:t xml:space="preserve">of </w:t>
      </w:r>
      <w:r w:rsidR="002E57B8" w:rsidRPr="003A78F3">
        <w:rPr>
          <w:rFonts w:cs="Arial"/>
          <w:lang w:val="en-GB"/>
        </w:rPr>
        <w:t>F</w:t>
      </w:r>
      <w:r w:rsidRPr="003A78F3">
        <w:rPr>
          <w:rFonts w:cs="Arial"/>
          <w:lang w:val="en-GB"/>
        </w:rPr>
        <w:t xml:space="preserve">BiH </w:t>
      </w:r>
      <w:r w:rsidR="00F35A11" w:rsidRPr="003A78F3">
        <w:rPr>
          <w:rFonts w:cs="Arial"/>
          <w:lang w:val="en-GB"/>
        </w:rPr>
        <w:t>(“Official Gazette of F</w:t>
      </w:r>
      <w:r w:rsidR="00137C3A" w:rsidRPr="003A78F3">
        <w:rPr>
          <w:rFonts w:cs="Arial"/>
          <w:lang w:val="en-GB"/>
        </w:rPr>
        <w:t>BiH”</w:t>
      </w:r>
      <w:r w:rsidRPr="003A78F3">
        <w:rPr>
          <w:rFonts w:cs="Arial"/>
          <w:lang w:val="en-GB"/>
        </w:rPr>
        <w:t xml:space="preserve">, </w:t>
      </w:r>
      <w:r w:rsidR="00F35A11" w:rsidRPr="003A78F3">
        <w:rPr>
          <w:rFonts w:cs="Arial"/>
          <w:lang w:val="en-GB"/>
        </w:rPr>
        <w:t>Nos.</w:t>
      </w:r>
      <w:r w:rsidRPr="003A78F3">
        <w:rPr>
          <w:rFonts w:cs="Arial"/>
          <w:lang w:val="en-GB"/>
        </w:rPr>
        <w:t xml:space="preserve"> 3/11, 6/11, 9</w:t>
      </w:r>
      <w:r w:rsidR="00D06646" w:rsidRPr="003A78F3">
        <w:rPr>
          <w:rFonts w:cs="Arial"/>
          <w:lang w:val="en-GB"/>
        </w:rPr>
        <w:t>/</w:t>
      </w:r>
      <w:r w:rsidRPr="003A78F3">
        <w:rPr>
          <w:rFonts w:cs="Arial"/>
          <w:lang w:val="en-GB"/>
        </w:rPr>
        <w:t>11,18</w:t>
      </w:r>
      <w:r w:rsidR="00D06646" w:rsidRPr="003A78F3">
        <w:rPr>
          <w:rFonts w:cs="Arial"/>
          <w:lang w:val="en-GB"/>
        </w:rPr>
        <w:t>/</w:t>
      </w:r>
      <w:r w:rsidRPr="003A78F3">
        <w:rPr>
          <w:rFonts w:cs="Arial"/>
          <w:lang w:val="en-GB"/>
        </w:rPr>
        <w:t>11,39</w:t>
      </w:r>
      <w:r w:rsidR="00D06646" w:rsidRPr="003A78F3">
        <w:rPr>
          <w:rFonts w:cs="Arial"/>
          <w:lang w:val="en-GB"/>
        </w:rPr>
        <w:t>/</w:t>
      </w:r>
      <w:r w:rsidRPr="003A78F3">
        <w:rPr>
          <w:rFonts w:cs="Arial"/>
          <w:lang w:val="en-GB"/>
        </w:rPr>
        <w:t>11, 64</w:t>
      </w:r>
      <w:r w:rsidR="00D06646" w:rsidRPr="003A78F3">
        <w:rPr>
          <w:rFonts w:cs="Arial"/>
          <w:lang w:val="en-GB"/>
        </w:rPr>
        <w:t>/</w:t>
      </w:r>
      <w:r w:rsidRPr="003A78F3">
        <w:rPr>
          <w:rFonts w:cs="Arial"/>
          <w:lang w:val="en-GB"/>
        </w:rPr>
        <w:t>11i 87/11 , 5/12, 41/12, 69/12, 93/12, 101/12 and 105/12)</w:t>
      </w:r>
    </w:p>
    <w:p w:rsidR="00A97C31" w:rsidRPr="003A78F3" w:rsidRDefault="00403657" w:rsidP="00403657">
      <w:pPr>
        <w:spacing w:line="240" w:lineRule="auto"/>
        <w:rPr>
          <w:b/>
          <w:lang w:val="en-GB" w:eastAsia="ja-JP"/>
        </w:rPr>
      </w:pPr>
      <w:r w:rsidRPr="003A78F3">
        <w:rPr>
          <w:b/>
          <w:lang w:val="en-GB" w:eastAsia="ja-JP"/>
        </w:rPr>
        <w:t xml:space="preserve">   Republi</w:t>
      </w:r>
      <w:r w:rsidR="00D06646" w:rsidRPr="003A78F3">
        <w:rPr>
          <w:b/>
          <w:lang w:val="en-GB" w:eastAsia="ja-JP"/>
        </w:rPr>
        <w:t>ka Srpska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shd w:val="clear" w:color="auto" w:fill="FFFFFF"/>
          <w:lang w:val="en-GB"/>
        </w:rPr>
        <w:t xml:space="preserve">Fiscal </w:t>
      </w:r>
      <w:r w:rsidR="002E57B8" w:rsidRPr="003A78F3">
        <w:rPr>
          <w:rFonts w:cs="Arial"/>
          <w:shd w:val="clear" w:color="auto" w:fill="FFFFFF"/>
          <w:lang w:val="en-GB"/>
        </w:rPr>
        <w:t>Accountability Law of RS</w:t>
      </w:r>
      <w:r w:rsidRPr="003A78F3">
        <w:rPr>
          <w:rFonts w:cs="Arial"/>
          <w:lang w:val="en-GB"/>
        </w:rPr>
        <w:t xml:space="preserve"> </w:t>
      </w:r>
      <w:r w:rsidR="00137C3A" w:rsidRPr="003A78F3">
        <w:rPr>
          <w:rFonts w:cs="Arial"/>
          <w:lang w:val="en-GB"/>
        </w:rPr>
        <w:t xml:space="preserve">(“Official Gazette of </w:t>
      </w:r>
      <w:r w:rsidR="002E57B8" w:rsidRPr="003A78F3">
        <w:rPr>
          <w:rFonts w:cs="Arial"/>
          <w:lang w:val="en-GB"/>
        </w:rPr>
        <w:t>RS</w:t>
      </w:r>
      <w:r w:rsidR="00137C3A" w:rsidRPr="003A78F3">
        <w:rPr>
          <w:rFonts w:cs="Arial"/>
          <w:lang w:val="en-GB"/>
        </w:rPr>
        <w:t>”</w:t>
      </w:r>
      <w:r w:rsidRPr="003A78F3">
        <w:rPr>
          <w:rFonts w:cs="Arial"/>
          <w:lang w:val="en-GB"/>
        </w:rPr>
        <w:t xml:space="preserve">, </w:t>
      </w:r>
      <w:r w:rsidR="002E57B8" w:rsidRPr="003A78F3">
        <w:rPr>
          <w:rFonts w:cs="Arial"/>
          <w:lang w:val="en-GB"/>
        </w:rPr>
        <w:t>N</w:t>
      </w:r>
      <w:r w:rsidRPr="003A78F3">
        <w:rPr>
          <w:rFonts w:cs="Arial"/>
          <w:lang w:val="en-GB"/>
        </w:rPr>
        <w:t>o. 94/15)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lang w:val="en-GB"/>
        </w:rPr>
        <w:t xml:space="preserve">Law on </w:t>
      </w:r>
      <w:r w:rsidR="002E57B8" w:rsidRPr="003A78F3">
        <w:rPr>
          <w:rFonts w:cs="Arial"/>
          <w:lang w:val="en-GB"/>
        </w:rPr>
        <w:t xml:space="preserve">the </w:t>
      </w:r>
      <w:r w:rsidRPr="003A78F3">
        <w:rPr>
          <w:rFonts w:cs="Arial"/>
          <w:lang w:val="en-GB"/>
        </w:rPr>
        <w:t xml:space="preserve">Budget System of </w:t>
      </w:r>
      <w:r w:rsidR="002E57B8" w:rsidRPr="003A78F3">
        <w:rPr>
          <w:rFonts w:cs="Arial"/>
          <w:lang w:val="en-GB"/>
        </w:rPr>
        <w:t>RS</w:t>
      </w:r>
      <w:r w:rsidRPr="003A78F3">
        <w:rPr>
          <w:rFonts w:cs="Arial"/>
          <w:lang w:val="en-GB"/>
        </w:rPr>
        <w:t xml:space="preserve"> </w:t>
      </w:r>
      <w:r w:rsidR="00137C3A" w:rsidRPr="003A78F3">
        <w:rPr>
          <w:rFonts w:cs="Arial"/>
          <w:lang w:val="en-GB"/>
        </w:rPr>
        <w:t xml:space="preserve">(“Official Gazette of </w:t>
      </w:r>
      <w:r w:rsidR="002E57B8" w:rsidRPr="003A78F3">
        <w:rPr>
          <w:rFonts w:cs="Arial"/>
          <w:lang w:val="en-GB"/>
        </w:rPr>
        <w:t>RS</w:t>
      </w:r>
      <w:r w:rsidR="00137C3A" w:rsidRPr="003A78F3">
        <w:rPr>
          <w:rFonts w:cs="Arial"/>
          <w:lang w:val="en-GB"/>
        </w:rPr>
        <w:t>”</w:t>
      </w:r>
      <w:r w:rsidRPr="003A78F3">
        <w:rPr>
          <w:rFonts w:cs="Arial"/>
          <w:lang w:val="en-GB"/>
        </w:rPr>
        <w:t xml:space="preserve">, </w:t>
      </w:r>
      <w:r w:rsidR="002E57B8" w:rsidRPr="003A78F3">
        <w:rPr>
          <w:rFonts w:cs="Arial"/>
          <w:lang w:val="en-GB"/>
        </w:rPr>
        <w:t>N</w:t>
      </w:r>
      <w:r w:rsidRPr="003A78F3">
        <w:rPr>
          <w:rFonts w:cs="Arial"/>
          <w:lang w:val="en-GB"/>
        </w:rPr>
        <w:t>o</w:t>
      </w:r>
      <w:r w:rsidR="002E57B8" w:rsidRPr="003A78F3">
        <w:rPr>
          <w:rFonts w:cs="Arial"/>
          <w:lang w:val="en-GB"/>
        </w:rPr>
        <w:t>s</w:t>
      </w:r>
      <w:r w:rsidRPr="003A78F3">
        <w:rPr>
          <w:rFonts w:cs="Arial"/>
          <w:lang w:val="en-GB"/>
        </w:rPr>
        <w:t>. 121/12, 52/14 and 103/15);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lang w:val="en-GB"/>
        </w:rPr>
        <w:t xml:space="preserve">Law on </w:t>
      </w:r>
      <w:r w:rsidR="002E57B8" w:rsidRPr="003A78F3">
        <w:rPr>
          <w:rFonts w:cs="Arial"/>
          <w:lang w:val="en-GB"/>
        </w:rPr>
        <w:t xml:space="preserve">Budget </w:t>
      </w:r>
      <w:r w:rsidRPr="003A78F3">
        <w:rPr>
          <w:rFonts w:cs="Arial"/>
          <w:lang w:val="en-GB"/>
        </w:rPr>
        <w:t xml:space="preserve">Execution for </w:t>
      </w:r>
      <w:r w:rsidR="002E57B8" w:rsidRPr="003A78F3">
        <w:rPr>
          <w:rFonts w:cs="Arial"/>
          <w:lang w:val="en-GB"/>
        </w:rPr>
        <w:t xml:space="preserve">Fiscal Year of </w:t>
      </w:r>
      <w:r w:rsidRPr="003A78F3">
        <w:rPr>
          <w:rFonts w:cs="Arial"/>
          <w:lang w:val="en-GB"/>
        </w:rPr>
        <w:t xml:space="preserve">RS </w:t>
      </w:r>
      <w:r w:rsidR="00137C3A" w:rsidRPr="003A78F3">
        <w:rPr>
          <w:rFonts w:cs="Arial"/>
          <w:lang w:val="en-GB"/>
        </w:rPr>
        <w:t>(“</w:t>
      </w:r>
      <w:r w:rsidR="002E57B8" w:rsidRPr="003A78F3">
        <w:rPr>
          <w:rFonts w:cs="Arial"/>
          <w:lang w:val="en-GB"/>
        </w:rPr>
        <w:t>Official Gazette of RS</w:t>
      </w:r>
      <w:r w:rsidR="00137C3A" w:rsidRPr="003A78F3">
        <w:rPr>
          <w:rFonts w:cs="Arial"/>
          <w:lang w:val="en-GB"/>
        </w:rPr>
        <w:t>”</w:t>
      </w:r>
      <w:r w:rsidR="002E57B8" w:rsidRPr="003A78F3">
        <w:rPr>
          <w:rFonts w:cs="Arial"/>
          <w:lang w:val="en-GB"/>
        </w:rPr>
        <w:t>, N</w:t>
      </w:r>
      <w:r w:rsidRPr="003A78F3">
        <w:rPr>
          <w:rFonts w:cs="Arial"/>
          <w:lang w:val="en-GB"/>
        </w:rPr>
        <w:t>o</w:t>
      </w:r>
      <w:r w:rsidR="002E57B8" w:rsidRPr="003A78F3">
        <w:rPr>
          <w:rFonts w:cs="Arial"/>
          <w:lang w:val="en-GB"/>
        </w:rPr>
        <w:t>s</w:t>
      </w:r>
      <w:r w:rsidRPr="003A78F3">
        <w:rPr>
          <w:rFonts w:cs="Arial"/>
          <w:lang w:val="en-GB"/>
        </w:rPr>
        <w:t>. 128/06, 116/12);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lang w:val="en-GB"/>
        </w:rPr>
        <w:t xml:space="preserve">Law on Accounting and Auditing of RS </w:t>
      </w:r>
      <w:r w:rsidR="00137C3A" w:rsidRPr="003A78F3">
        <w:rPr>
          <w:rFonts w:cs="Arial"/>
          <w:lang w:val="en-GB"/>
        </w:rPr>
        <w:t>(“</w:t>
      </w:r>
      <w:r w:rsidR="002E57B8" w:rsidRPr="003A78F3">
        <w:rPr>
          <w:rFonts w:cs="Arial"/>
          <w:lang w:val="en-GB"/>
        </w:rPr>
        <w:t>Official Gazette of RS</w:t>
      </w:r>
      <w:r w:rsidR="00137C3A" w:rsidRPr="003A78F3">
        <w:rPr>
          <w:rFonts w:cs="Arial"/>
          <w:lang w:val="en-GB"/>
        </w:rPr>
        <w:t>”</w:t>
      </w:r>
      <w:r w:rsidR="002E57B8" w:rsidRPr="003A78F3">
        <w:rPr>
          <w:rFonts w:cs="Arial"/>
          <w:lang w:val="en-GB"/>
        </w:rPr>
        <w:t>, N</w:t>
      </w:r>
      <w:r w:rsidRPr="003A78F3">
        <w:rPr>
          <w:rFonts w:cs="Arial"/>
          <w:lang w:val="en-GB"/>
        </w:rPr>
        <w:t xml:space="preserve">o. 36/09) </w:t>
      </w:r>
      <w:r w:rsidR="002E57B8" w:rsidRPr="003A78F3">
        <w:rPr>
          <w:rFonts w:cs="Arial"/>
          <w:lang w:val="en-GB"/>
        </w:rPr>
        <w:t>–</w:t>
      </w:r>
      <w:r w:rsidRPr="003A78F3">
        <w:rPr>
          <w:rFonts w:cs="Arial"/>
          <w:lang w:val="en-GB"/>
        </w:rPr>
        <w:t xml:space="preserve"> </w:t>
      </w:r>
      <w:r w:rsidR="002E57B8" w:rsidRPr="003A78F3">
        <w:rPr>
          <w:rFonts w:cs="Arial"/>
          <w:lang w:val="en-GB"/>
        </w:rPr>
        <w:t>consolidated version</w:t>
      </w:r>
      <w:r w:rsidRPr="003A78F3">
        <w:rPr>
          <w:rFonts w:cs="Arial"/>
          <w:lang w:val="en-GB"/>
        </w:rPr>
        <w:t xml:space="preserve"> </w:t>
      </w:r>
      <w:r w:rsidR="00137C3A" w:rsidRPr="003A78F3">
        <w:rPr>
          <w:rFonts w:cs="Arial"/>
          <w:lang w:val="en-GB"/>
        </w:rPr>
        <w:t>(“</w:t>
      </w:r>
      <w:r w:rsidR="002E57B8" w:rsidRPr="003A78F3">
        <w:rPr>
          <w:rFonts w:cs="Arial"/>
          <w:lang w:val="en-GB"/>
        </w:rPr>
        <w:t>Official Gazette of RS</w:t>
      </w:r>
      <w:r w:rsidR="00137C3A" w:rsidRPr="003A78F3">
        <w:rPr>
          <w:rFonts w:cs="Arial"/>
          <w:lang w:val="en-GB"/>
        </w:rPr>
        <w:t>”</w:t>
      </w:r>
      <w:r w:rsidRPr="003A78F3">
        <w:rPr>
          <w:rFonts w:cs="Arial"/>
          <w:lang w:val="en-GB"/>
        </w:rPr>
        <w:t xml:space="preserve">, </w:t>
      </w:r>
      <w:r w:rsidR="002E57B8" w:rsidRPr="003A78F3">
        <w:rPr>
          <w:rFonts w:cs="Arial"/>
          <w:lang w:val="en-GB"/>
        </w:rPr>
        <w:t>No</w:t>
      </w:r>
      <w:r w:rsidRPr="003A78F3">
        <w:rPr>
          <w:rFonts w:cs="Arial"/>
          <w:lang w:val="en-GB"/>
        </w:rPr>
        <w:t>. 52/11);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lang w:val="en-GB"/>
        </w:rPr>
        <w:t xml:space="preserve">Order on </w:t>
      </w:r>
      <w:r w:rsidR="002E57B8" w:rsidRPr="003A78F3">
        <w:rPr>
          <w:rFonts w:cs="Arial"/>
          <w:lang w:val="en-GB"/>
        </w:rPr>
        <w:t>Budget Classification</w:t>
      </w:r>
      <w:r w:rsidRPr="003A78F3">
        <w:rPr>
          <w:rFonts w:cs="Arial"/>
          <w:lang w:val="en-GB"/>
        </w:rPr>
        <w:t xml:space="preserve">, </w:t>
      </w:r>
      <w:r w:rsidR="002E57B8" w:rsidRPr="003A78F3">
        <w:rPr>
          <w:rFonts w:cs="Arial"/>
          <w:lang w:val="en-GB"/>
        </w:rPr>
        <w:t xml:space="preserve">Account Contents </w:t>
      </w:r>
      <w:r w:rsidRPr="003A78F3">
        <w:rPr>
          <w:rFonts w:cs="Arial"/>
          <w:lang w:val="en-GB"/>
        </w:rPr>
        <w:t xml:space="preserve">and </w:t>
      </w:r>
      <w:r w:rsidR="002E57B8" w:rsidRPr="003A78F3">
        <w:rPr>
          <w:rFonts w:cs="Arial"/>
          <w:lang w:val="en-GB"/>
        </w:rPr>
        <w:t xml:space="preserve">Use of </w:t>
      </w:r>
      <w:r w:rsidRPr="003A78F3">
        <w:rPr>
          <w:rFonts w:cs="Arial"/>
          <w:lang w:val="en-GB"/>
        </w:rPr>
        <w:t xml:space="preserve">the </w:t>
      </w:r>
      <w:r w:rsidR="002E57B8" w:rsidRPr="003A78F3">
        <w:rPr>
          <w:rFonts w:cs="Arial"/>
          <w:lang w:val="en-GB"/>
        </w:rPr>
        <w:t xml:space="preserve">Chart </w:t>
      </w:r>
      <w:r w:rsidRPr="003A78F3">
        <w:rPr>
          <w:rFonts w:cs="Arial"/>
          <w:lang w:val="en-GB"/>
        </w:rPr>
        <w:t xml:space="preserve">of </w:t>
      </w:r>
      <w:r w:rsidR="002E57B8" w:rsidRPr="003A78F3">
        <w:rPr>
          <w:rFonts w:cs="Arial"/>
          <w:lang w:val="en-GB"/>
        </w:rPr>
        <w:t xml:space="preserve">Accounts </w:t>
      </w:r>
      <w:r w:rsidRPr="003A78F3">
        <w:rPr>
          <w:rFonts w:cs="Arial"/>
          <w:lang w:val="en-GB"/>
        </w:rPr>
        <w:t xml:space="preserve">for </w:t>
      </w:r>
      <w:r w:rsidR="002E57B8" w:rsidRPr="003A78F3">
        <w:rPr>
          <w:rFonts w:cs="Arial"/>
          <w:lang w:val="en-GB"/>
        </w:rPr>
        <w:t xml:space="preserve">Users </w:t>
      </w:r>
      <w:r w:rsidRPr="003A78F3">
        <w:rPr>
          <w:rFonts w:cs="Arial"/>
          <w:lang w:val="en-GB"/>
        </w:rPr>
        <w:t xml:space="preserve">of </w:t>
      </w:r>
      <w:r w:rsidR="002E57B8" w:rsidRPr="003A78F3">
        <w:rPr>
          <w:rFonts w:cs="Arial"/>
          <w:lang w:val="en-GB"/>
        </w:rPr>
        <w:t>Public Revenues</w:t>
      </w:r>
      <w:r w:rsidRPr="003A78F3">
        <w:rPr>
          <w:rFonts w:cs="Arial"/>
          <w:lang w:val="en-GB"/>
        </w:rPr>
        <w:t xml:space="preserve">, </w:t>
      </w:r>
      <w:r w:rsidR="002E57B8" w:rsidRPr="003A78F3">
        <w:rPr>
          <w:rFonts w:cs="Arial"/>
          <w:lang w:val="en-GB"/>
        </w:rPr>
        <w:t>Municipalities</w:t>
      </w:r>
      <w:r w:rsidRPr="003A78F3">
        <w:rPr>
          <w:rFonts w:cs="Arial"/>
          <w:lang w:val="en-GB"/>
        </w:rPr>
        <w:t xml:space="preserve">, </w:t>
      </w:r>
      <w:r w:rsidR="002E57B8" w:rsidRPr="003A78F3">
        <w:rPr>
          <w:rFonts w:cs="Arial"/>
          <w:lang w:val="en-GB"/>
        </w:rPr>
        <w:t xml:space="preserve">Cities </w:t>
      </w:r>
      <w:r w:rsidRPr="003A78F3">
        <w:rPr>
          <w:rFonts w:cs="Arial"/>
          <w:lang w:val="en-GB"/>
        </w:rPr>
        <w:t xml:space="preserve">and </w:t>
      </w:r>
      <w:r w:rsidR="002E57B8" w:rsidRPr="003A78F3">
        <w:rPr>
          <w:rFonts w:cs="Arial"/>
          <w:lang w:val="en-GB"/>
        </w:rPr>
        <w:t xml:space="preserve">Funds </w:t>
      </w:r>
      <w:r w:rsidR="00137C3A" w:rsidRPr="003A78F3">
        <w:rPr>
          <w:rFonts w:cs="Arial"/>
          <w:lang w:val="en-GB"/>
        </w:rPr>
        <w:t>(“</w:t>
      </w:r>
      <w:r w:rsidR="002E57B8" w:rsidRPr="003A78F3">
        <w:rPr>
          <w:rFonts w:cs="Arial"/>
          <w:lang w:val="en-GB"/>
        </w:rPr>
        <w:t>Official Gazette of RS</w:t>
      </w:r>
      <w:r w:rsidR="00137C3A" w:rsidRPr="003A78F3">
        <w:rPr>
          <w:rFonts w:cs="Arial"/>
          <w:lang w:val="en-GB"/>
        </w:rPr>
        <w:t>”</w:t>
      </w:r>
      <w:r w:rsidR="002E57B8" w:rsidRPr="003A78F3">
        <w:rPr>
          <w:rFonts w:cs="Arial"/>
          <w:lang w:val="en-GB"/>
        </w:rPr>
        <w:t>, N</w:t>
      </w:r>
      <w:r w:rsidRPr="003A78F3">
        <w:rPr>
          <w:rFonts w:cs="Arial"/>
          <w:lang w:val="en-GB"/>
        </w:rPr>
        <w:t>o. 90/10);</w:t>
      </w:r>
    </w:p>
    <w:p w:rsidR="00A97C31" w:rsidRPr="003A78F3" w:rsidRDefault="002E57B8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lang w:val="en-GB"/>
        </w:rPr>
        <w:t xml:space="preserve">Rules on Budget Classification, Account Contents and Use of the Chart of Accounts for Beneficiaries of the Budget of the Republic, Municipalities, Cities and Funds </w:t>
      </w:r>
      <w:r w:rsidR="00137C3A" w:rsidRPr="003A78F3">
        <w:rPr>
          <w:rFonts w:cs="Arial"/>
          <w:lang w:val="en-GB"/>
        </w:rPr>
        <w:t>(“</w:t>
      </w:r>
      <w:r w:rsidRPr="003A78F3">
        <w:rPr>
          <w:rFonts w:cs="Arial"/>
          <w:lang w:val="en-GB"/>
        </w:rPr>
        <w:t>Official Gazette of RS</w:t>
      </w:r>
      <w:r w:rsidR="00137C3A" w:rsidRPr="003A78F3">
        <w:rPr>
          <w:rFonts w:cs="Arial"/>
          <w:lang w:val="en-GB"/>
        </w:rPr>
        <w:t>”</w:t>
      </w:r>
      <w:r w:rsidR="00622566" w:rsidRPr="003A78F3">
        <w:rPr>
          <w:rFonts w:cs="Arial"/>
          <w:lang w:val="en-GB"/>
        </w:rPr>
        <w:t xml:space="preserve"> No.</w:t>
      </w:r>
      <w:r w:rsidR="00BB5814" w:rsidRPr="003A78F3">
        <w:rPr>
          <w:rFonts w:cs="Arial"/>
          <w:lang w:val="en-GB"/>
        </w:rPr>
        <w:t xml:space="preserve"> </w:t>
      </w:r>
      <w:hyperlink r:id="rId16" w:history="1">
        <w:r w:rsidR="00622566" w:rsidRPr="003A78F3">
          <w:rPr>
            <w:rFonts w:cs="Arial"/>
            <w:lang w:val="en-GB"/>
          </w:rPr>
          <w:t>90/10</w:t>
        </w:r>
      </w:hyperlink>
      <w:r w:rsidR="00622566" w:rsidRPr="003A78F3">
        <w:rPr>
          <w:color w:val="424242"/>
          <w:lang w:val="en-GB"/>
        </w:rPr>
        <w:t>)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lang w:val="en-GB"/>
        </w:rPr>
        <w:t xml:space="preserve">Rules on </w:t>
      </w:r>
      <w:r w:rsidR="00BB5814" w:rsidRPr="003A78F3">
        <w:rPr>
          <w:rFonts w:cs="Arial"/>
          <w:lang w:val="en-GB"/>
        </w:rPr>
        <w:t>Accounting</w:t>
      </w:r>
      <w:r w:rsidRPr="003A78F3">
        <w:rPr>
          <w:rFonts w:cs="Arial"/>
          <w:lang w:val="en-GB"/>
        </w:rPr>
        <w:t xml:space="preserve">, </w:t>
      </w:r>
      <w:r w:rsidR="00BB5814" w:rsidRPr="003A78F3">
        <w:rPr>
          <w:rFonts w:cs="Arial"/>
          <w:lang w:val="en-GB"/>
        </w:rPr>
        <w:t xml:space="preserve">Accounting Policies </w:t>
      </w:r>
      <w:r w:rsidRPr="003A78F3">
        <w:rPr>
          <w:rFonts w:cs="Arial"/>
          <w:lang w:val="en-GB"/>
        </w:rPr>
        <w:t xml:space="preserve">and </w:t>
      </w:r>
      <w:r w:rsidR="00BB5814" w:rsidRPr="003A78F3">
        <w:rPr>
          <w:rFonts w:cs="Arial"/>
          <w:lang w:val="en-GB"/>
        </w:rPr>
        <w:t xml:space="preserve">Accounting Estimates </w:t>
      </w:r>
      <w:r w:rsidRPr="003A78F3">
        <w:rPr>
          <w:rFonts w:cs="Arial"/>
          <w:lang w:val="en-GB"/>
        </w:rPr>
        <w:t xml:space="preserve">for the </w:t>
      </w:r>
      <w:r w:rsidR="00BB5814" w:rsidRPr="003A78F3">
        <w:rPr>
          <w:rFonts w:cs="Arial"/>
          <w:lang w:val="en-GB"/>
        </w:rPr>
        <w:t xml:space="preserve">Budget Beneficiaries </w:t>
      </w:r>
      <w:r w:rsidRPr="003A78F3">
        <w:rPr>
          <w:rFonts w:cs="Arial"/>
          <w:lang w:val="en-GB"/>
        </w:rPr>
        <w:t xml:space="preserve">in </w:t>
      </w:r>
      <w:r w:rsidR="00BB5814" w:rsidRPr="003A78F3">
        <w:rPr>
          <w:rFonts w:cs="Arial"/>
          <w:lang w:val="en-GB"/>
        </w:rPr>
        <w:t>RS</w:t>
      </w:r>
      <w:r w:rsidRPr="003A78F3">
        <w:rPr>
          <w:rFonts w:cs="Arial"/>
          <w:lang w:val="en-GB"/>
        </w:rPr>
        <w:t xml:space="preserve"> </w:t>
      </w:r>
      <w:r w:rsidR="00137C3A" w:rsidRPr="003A78F3">
        <w:rPr>
          <w:rFonts w:cs="Arial"/>
          <w:lang w:val="en-GB"/>
        </w:rPr>
        <w:t>(“</w:t>
      </w:r>
      <w:r w:rsidR="002E57B8" w:rsidRPr="003A78F3">
        <w:rPr>
          <w:rFonts w:cs="Arial"/>
          <w:lang w:val="en-GB"/>
        </w:rPr>
        <w:t>Official Gazette of RS</w:t>
      </w:r>
      <w:r w:rsidR="00137C3A" w:rsidRPr="003A78F3">
        <w:rPr>
          <w:rFonts w:cs="Arial"/>
          <w:lang w:val="en-GB"/>
        </w:rPr>
        <w:t>”</w:t>
      </w:r>
      <w:r w:rsidR="00BB5814" w:rsidRPr="003A78F3">
        <w:rPr>
          <w:rFonts w:cs="Arial"/>
          <w:lang w:val="en-GB"/>
        </w:rPr>
        <w:t>,</w:t>
      </w:r>
      <w:r w:rsidRPr="003A78F3">
        <w:rPr>
          <w:rFonts w:cs="Arial"/>
          <w:lang w:val="en-GB"/>
        </w:rPr>
        <w:t xml:space="preserve"> </w:t>
      </w:r>
      <w:r w:rsidR="00BB5814" w:rsidRPr="003A78F3">
        <w:rPr>
          <w:rFonts w:cs="Arial"/>
          <w:lang w:val="en-GB"/>
        </w:rPr>
        <w:t>N</w:t>
      </w:r>
      <w:r w:rsidRPr="003A78F3">
        <w:rPr>
          <w:rFonts w:cs="Arial"/>
          <w:lang w:val="en-GB"/>
        </w:rPr>
        <w:t>o. 127/11);</w:t>
      </w:r>
    </w:p>
    <w:p w:rsidR="00A97C31" w:rsidRPr="003A78F3" w:rsidRDefault="00622566" w:rsidP="00403657">
      <w:pPr>
        <w:spacing w:line="240" w:lineRule="auto"/>
        <w:rPr>
          <w:b/>
          <w:lang w:val="en-GB" w:eastAsia="ja-JP"/>
        </w:rPr>
      </w:pPr>
      <w:r w:rsidRPr="003A78F3">
        <w:rPr>
          <w:b/>
          <w:lang w:val="en-GB" w:eastAsia="ja-JP"/>
        </w:rPr>
        <w:t xml:space="preserve">   </w:t>
      </w:r>
      <w:r w:rsidR="00D06646" w:rsidRPr="003A78F3">
        <w:rPr>
          <w:b/>
          <w:lang w:val="en-GB" w:eastAsia="ja-JP"/>
        </w:rPr>
        <w:t>F</w:t>
      </w:r>
      <w:r w:rsidRPr="003A78F3">
        <w:rPr>
          <w:b/>
          <w:lang w:val="en-GB" w:eastAsia="ja-JP"/>
        </w:rPr>
        <w:t xml:space="preserve">iscal coordination 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lang w:val="en-GB"/>
        </w:rPr>
        <w:t xml:space="preserve">Law on Fiscal Council in Bosnia and Herzegovina </w:t>
      </w:r>
      <w:r w:rsidR="002B2178" w:rsidRPr="003A78F3">
        <w:rPr>
          <w:rFonts w:cs="Arial"/>
          <w:lang w:val="en-GB"/>
        </w:rPr>
        <w:t>(“Official Gazette of BiH”</w:t>
      </w:r>
      <w:r w:rsidR="00BB5814" w:rsidRPr="003A78F3">
        <w:rPr>
          <w:rFonts w:cs="Arial"/>
          <w:lang w:val="en-GB"/>
        </w:rPr>
        <w:t>, N</w:t>
      </w:r>
      <w:r w:rsidRPr="003A78F3">
        <w:rPr>
          <w:rFonts w:cs="Arial"/>
          <w:lang w:val="en-GB"/>
        </w:rPr>
        <w:t>o. 63/08)</w:t>
      </w:r>
    </w:p>
    <w:p w:rsidR="00A97C31" w:rsidRPr="003A78F3" w:rsidRDefault="00622566" w:rsidP="00403657">
      <w:pPr>
        <w:widowControl/>
        <w:numPr>
          <w:ilvl w:val="0"/>
          <w:numId w:val="5"/>
        </w:numPr>
        <w:spacing w:line="240" w:lineRule="auto"/>
        <w:jc w:val="both"/>
        <w:rPr>
          <w:rFonts w:cs="Arial"/>
          <w:lang w:val="en-GB"/>
        </w:rPr>
      </w:pPr>
      <w:r w:rsidRPr="003A78F3">
        <w:rPr>
          <w:rFonts w:cs="Arial"/>
          <w:lang w:val="en-GB"/>
        </w:rPr>
        <w:t>Rules of Procedure of the Fiscal Council</w:t>
      </w:r>
    </w:p>
    <w:p w:rsidR="00A97C31" w:rsidRPr="003A78F3" w:rsidRDefault="00622566" w:rsidP="00403657">
      <w:pPr>
        <w:spacing w:line="240" w:lineRule="auto"/>
        <w:jc w:val="both"/>
        <w:rPr>
          <w:rFonts w:cs="Calibri"/>
          <w:lang w:val="en-GB"/>
        </w:rPr>
      </w:pPr>
      <w:r w:rsidRPr="003A78F3">
        <w:rPr>
          <w:lang w:val="en-GB"/>
        </w:rPr>
        <w:t xml:space="preserve"> </w:t>
      </w:r>
    </w:p>
    <w:sectPr w:rsidR="00A97C31" w:rsidRPr="003A78F3" w:rsidSect="0069164E">
      <w:pgSz w:w="12247" w:h="15819"/>
      <w:pgMar w:top="1418" w:right="1332" w:bottom="1418" w:left="1418" w:header="709" w:footer="709" w:gutter="0"/>
      <w:pgNumType w:start="3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70" w:rsidRDefault="007B7870">
      <w:pPr>
        <w:spacing w:after="0" w:line="240" w:lineRule="auto"/>
      </w:pPr>
      <w:r>
        <w:separator/>
      </w:r>
    </w:p>
  </w:endnote>
  <w:endnote w:type="continuationSeparator" w:id="0">
    <w:p w:rsidR="007B7870" w:rsidRDefault="007B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70" w:rsidRDefault="007B7870">
      <w:pPr>
        <w:spacing w:after="0" w:line="240" w:lineRule="auto"/>
      </w:pPr>
      <w:r>
        <w:separator/>
      </w:r>
    </w:p>
  </w:footnote>
  <w:footnote w:type="continuationSeparator" w:id="0">
    <w:p w:rsidR="007B7870" w:rsidRDefault="007B7870">
      <w:pPr>
        <w:spacing w:after="0" w:line="240" w:lineRule="auto"/>
      </w:pPr>
      <w:r>
        <w:continuationSeparator/>
      </w:r>
    </w:p>
  </w:footnote>
  <w:footnote w:id="1">
    <w:p w:rsidR="00B829AF" w:rsidRPr="00B94524" w:rsidRDefault="00B829AF" w:rsidP="00403657">
      <w:pPr>
        <w:pStyle w:val="FootnoteText"/>
        <w:snapToGrid w:val="0"/>
        <w:spacing w:after="0" w:line="240" w:lineRule="auto"/>
        <w:rPr>
          <w:sz w:val="18"/>
          <w:szCs w:val="18"/>
          <w:lang w:val="en-GB"/>
        </w:rPr>
      </w:pPr>
      <w:r w:rsidRPr="00B94524">
        <w:rPr>
          <w:rStyle w:val="FootnoteReference"/>
          <w:sz w:val="18"/>
          <w:szCs w:val="18"/>
          <w:lang w:val="en-GB"/>
        </w:rPr>
        <w:footnoteRef/>
      </w:r>
      <w:r w:rsidRPr="00B94524">
        <w:rPr>
          <w:sz w:val="18"/>
          <w:szCs w:val="18"/>
          <w:lang w:val="en-GB"/>
        </w:rPr>
        <w:t xml:space="preserve">  The list of institutions is provided in Annex 1</w:t>
      </w:r>
      <w:r>
        <w:rPr>
          <w:sz w:val="18"/>
          <w:szCs w:val="18"/>
          <w:lang w:val="en-GB"/>
        </w:rPr>
        <w:t>.</w:t>
      </w:r>
    </w:p>
  </w:footnote>
  <w:footnote w:id="2">
    <w:p w:rsidR="00B829AF" w:rsidRPr="00B94524" w:rsidRDefault="00B829AF" w:rsidP="00403657">
      <w:pPr>
        <w:pStyle w:val="FootnoteText"/>
        <w:spacing w:after="0" w:line="240" w:lineRule="auto"/>
        <w:rPr>
          <w:sz w:val="18"/>
          <w:szCs w:val="18"/>
          <w:lang w:val="en-GB"/>
        </w:rPr>
      </w:pPr>
      <w:r w:rsidRPr="00B94524">
        <w:rPr>
          <w:rStyle w:val="FootnoteReference"/>
          <w:sz w:val="18"/>
          <w:szCs w:val="18"/>
          <w:lang w:val="en-GB"/>
        </w:rPr>
        <w:footnoteRef/>
      </w:r>
      <w:r w:rsidRPr="00B94524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The l</w:t>
      </w:r>
      <w:r w:rsidRPr="00B94524">
        <w:rPr>
          <w:sz w:val="18"/>
          <w:szCs w:val="18"/>
          <w:lang w:val="en-GB"/>
        </w:rPr>
        <w:t>ist of law</w:t>
      </w:r>
      <w:r>
        <w:rPr>
          <w:sz w:val="18"/>
          <w:szCs w:val="18"/>
          <w:lang w:val="en-GB"/>
        </w:rPr>
        <w:t>s</w:t>
      </w:r>
      <w:r w:rsidRPr="00B94524">
        <w:rPr>
          <w:sz w:val="18"/>
          <w:szCs w:val="18"/>
          <w:lang w:val="en-GB"/>
        </w:rPr>
        <w:t xml:space="preserve"> is </w:t>
      </w:r>
      <w:r>
        <w:rPr>
          <w:sz w:val="18"/>
          <w:szCs w:val="18"/>
          <w:lang w:val="en-GB"/>
        </w:rPr>
        <w:t>provided in</w:t>
      </w:r>
      <w:r w:rsidRPr="00B94524">
        <w:rPr>
          <w:sz w:val="18"/>
          <w:szCs w:val="18"/>
          <w:lang w:val="en-GB"/>
        </w:rPr>
        <w:t xml:space="preserve"> Annex 2</w:t>
      </w:r>
      <w:r>
        <w:rPr>
          <w:sz w:val="18"/>
          <w:szCs w:val="18"/>
          <w:lang w:val="en-GB"/>
        </w:rPr>
        <w:t>.</w:t>
      </w:r>
    </w:p>
  </w:footnote>
  <w:footnote w:id="3">
    <w:p w:rsidR="00B829AF" w:rsidRPr="001F22DA" w:rsidRDefault="00B829AF" w:rsidP="00403657">
      <w:pPr>
        <w:pStyle w:val="FootnoteText"/>
        <w:spacing w:after="0" w:line="240" w:lineRule="auto"/>
        <w:rPr>
          <w:b/>
          <w:sz w:val="18"/>
          <w:szCs w:val="18"/>
          <w:lang w:val="en-GB"/>
        </w:rPr>
      </w:pPr>
      <w:r w:rsidRPr="001F22DA">
        <w:rPr>
          <w:rStyle w:val="FootnoteReference"/>
          <w:b/>
          <w:sz w:val="18"/>
          <w:szCs w:val="18"/>
          <w:lang w:val="en-GB"/>
        </w:rPr>
        <w:footnoteRef/>
      </w:r>
      <w:r w:rsidRPr="001F22DA">
        <w:rPr>
          <w:b/>
          <w:sz w:val="18"/>
          <w:szCs w:val="18"/>
          <w:lang w:val="en-GB"/>
        </w:rPr>
        <w:t xml:space="preserve"> </w:t>
      </w:r>
      <w:r w:rsidRPr="001F22DA">
        <w:rPr>
          <w:rStyle w:val="Strong"/>
          <w:rFonts w:cs="Arial"/>
          <w:b w:val="0"/>
          <w:color w:val="282828"/>
          <w:sz w:val="18"/>
          <w:szCs w:val="18"/>
          <w:shd w:val="clear" w:color="auto" w:fill="FFFFFF"/>
          <w:lang w:val="en-GB"/>
        </w:rPr>
        <w:t xml:space="preserve">The Public Administration Reform Fund </w:t>
      </w:r>
      <w:r>
        <w:rPr>
          <w:rStyle w:val="Strong"/>
          <w:rFonts w:cs="Arial"/>
          <w:b w:val="0"/>
          <w:color w:val="282828"/>
          <w:sz w:val="18"/>
          <w:szCs w:val="18"/>
          <w:shd w:val="clear" w:color="auto" w:fill="FFFFFF"/>
          <w:lang w:val="en-GB"/>
        </w:rPr>
        <w:t>of</w:t>
      </w:r>
      <w:r w:rsidRPr="001F22DA">
        <w:rPr>
          <w:rStyle w:val="Strong"/>
          <w:rFonts w:cs="Arial"/>
          <w:b w:val="0"/>
          <w:color w:val="282828"/>
          <w:sz w:val="18"/>
          <w:szCs w:val="18"/>
          <w:shd w:val="clear" w:color="auto" w:fill="FFFFFF"/>
          <w:lang w:val="en-GB"/>
        </w:rPr>
        <w:t xml:space="preserve"> BiH funded the </w:t>
      </w:r>
      <w:r>
        <w:rPr>
          <w:rStyle w:val="Strong"/>
          <w:rFonts w:cs="Arial"/>
          <w:b w:val="0"/>
          <w:color w:val="282828"/>
          <w:sz w:val="18"/>
          <w:szCs w:val="18"/>
          <w:shd w:val="clear" w:color="auto" w:fill="FFFFFF"/>
          <w:lang w:val="en-GB"/>
        </w:rPr>
        <w:t>procurement</w:t>
      </w:r>
      <w:r w:rsidRPr="001F22DA">
        <w:rPr>
          <w:rStyle w:val="Strong"/>
          <w:rFonts w:cs="Arial"/>
          <w:b w:val="0"/>
          <w:color w:val="282828"/>
          <w:sz w:val="18"/>
          <w:szCs w:val="18"/>
          <w:shd w:val="clear" w:color="auto" w:fill="FFFFFF"/>
          <w:lang w:val="en-GB"/>
        </w:rPr>
        <w:t xml:space="preserve"> of </w:t>
      </w:r>
      <w:r>
        <w:rPr>
          <w:rStyle w:val="Strong"/>
          <w:rFonts w:cs="Arial"/>
          <w:b w:val="0"/>
          <w:color w:val="282828"/>
          <w:sz w:val="18"/>
          <w:szCs w:val="18"/>
          <w:shd w:val="clear" w:color="auto" w:fill="FFFFFF"/>
          <w:lang w:val="en-GB"/>
        </w:rPr>
        <w:t xml:space="preserve">the </w:t>
      </w:r>
      <w:r w:rsidRPr="001F22DA">
        <w:rPr>
          <w:rStyle w:val="Strong"/>
          <w:rFonts w:cs="Arial"/>
          <w:b w:val="0"/>
          <w:color w:val="282828"/>
          <w:sz w:val="18"/>
          <w:szCs w:val="18"/>
          <w:shd w:val="clear" w:color="auto" w:fill="FFFFFF"/>
          <w:lang w:val="en-GB"/>
        </w:rPr>
        <w:t xml:space="preserve">BPMIS software </w:t>
      </w:r>
      <w:r>
        <w:rPr>
          <w:rStyle w:val="Strong"/>
          <w:rFonts w:cs="Arial"/>
          <w:b w:val="0"/>
          <w:color w:val="282828"/>
          <w:sz w:val="18"/>
          <w:szCs w:val="18"/>
          <w:shd w:val="clear" w:color="auto" w:fill="FFFFFF"/>
          <w:lang w:val="en-GB"/>
        </w:rPr>
        <w:t>“</w:t>
      </w:r>
      <w:r w:rsidRPr="001F22DA">
        <w:rPr>
          <w:rStyle w:val="Strong"/>
          <w:rFonts w:cs="Arial"/>
          <w:b w:val="0"/>
          <w:color w:val="282828"/>
          <w:sz w:val="18"/>
          <w:szCs w:val="18"/>
          <w:shd w:val="clear" w:color="auto" w:fill="FFFFFF"/>
          <w:lang w:val="en-GB"/>
        </w:rPr>
        <w:t>Budget Planning an</w:t>
      </w:r>
      <w:r>
        <w:rPr>
          <w:rStyle w:val="Strong"/>
          <w:rFonts w:cs="Arial"/>
          <w:b w:val="0"/>
          <w:color w:val="282828"/>
          <w:sz w:val="18"/>
          <w:szCs w:val="18"/>
          <w:shd w:val="clear" w:color="auto" w:fill="FFFFFF"/>
          <w:lang w:val="en-GB"/>
        </w:rPr>
        <w:t>d Management Information System”</w:t>
      </w:r>
    </w:p>
  </w:footnote>
  <w:footnote w:id="4">
    <w:p w:rsidR="00B829AF" w:rsidRPr="00B94524" w:rsidRDefault="00B829AF" w:rsidP="00403657">
      <w:pPr>
        <w:pStyle w:val="FootnoteText"/>
        <w:spacing w:after="0"/>
        <w:rPr>
          <w:sz w:val="18"/>
          <w:szCs w:val="18"/>
          <w:lang w:val="en-GB"/>
        </w:rPr>
      </w:pPr>
      <w:r w:rsidRPr="00B94524">
        <w:rPr>
          <w:rStyle w:val="FootnoteReference"/>
          <w:sz w:val="18"/>
          <w:szCs w:val="18"/>
          <w:lang w:val="en-GB"/>
        </w:rPr>
        <w:footnoteRef/>
      </w:r>
      <w:r w:rsidRPr="00B94524">
        <w:rPr>
          <w:sz w:val="18"/>
          <w:szCs w:val="18"/>
          <w:lang w:val="en-GB"/>
        </w:rPr>
        <w:t xml:space="preserve"> </w:t>
      </w:r>
      <w:hyperlink r:id="rId1" w:history="1">
        <w:r w:rsidRPr="00E1251F">
          <w:rPr>
            <w:rStyle w:val="Hyperlink"/>
            <w:sz w:val="18"/>
            <w:szCs w:val="18"/>
            <w:lang w:val="en-GB"/>
          </w:rPr>
          <w:t>http://www.vladars.net/sr-SP-Cyrl/Vlada/Ministarstva/mf/Documents/%D0%91%D1%83%D1%9F%D0%B5%D1%82%20%D0%A0 % D0% B5% D0% BF% D1% 83% D0% B1% D0% BB% D0% B8% D0% BA% D0% B5% 20% D0% A1% D1% 80% D0% BF% D1% 81 % D0% BA% D0% B5% 20% D0% B7% D0% B0% 202016th% 20% D0% B3% D0% BE% D0% B4% D0% B8% D0% BD% D1% 83_498890977.pdf</w:t>
        </w:r>
      </w:hyperlink>
    </w:p>
  </w:footnote>
  <w:footnote w:id="5">
    <w:p w:rsidR="00B829AF" w:rsidRPr="00B94524" w:rsidRDefault="00B829AF" w:rsidP="00403657">
      <w:pPr>
        <w:pStyle w:val="FootnoteText"/>
        <w:spacing w:after="0"/>
        <w:rPr>
          <w:sz w:val="18"/>
          <w:szCs w:val="18"/>
          <w:lang w:val="en-GB"/>
        </w:rPr>
      </w:pPr>
      <w:r w:rsidRPr="00B94524">
        <w:rPr>
          <w:rStyle w:val="FootnoteReference"/>
          <w:sz w:val="18"/>
          <w:szCs w:val="18"/>
          <w:lang w:val="en-GB"/>
        </w:rPr>
        <w:footnoteRef/>
      </w:r>
      <w:r w:rsidRPr="00B94524">
        <w:rPr>
          <w:sz w:val="18"/>
          <w:szCs w:val="18"/>
          <w:lang w:val="en-GB"/>
        </w:rPr>
        <w:t xml:space="preserve"> </w:t>
      </w:r>
      <w:hyperlink r:id="rId2" w:history="1">
        <w:r w:rsidRPr="00B94524">
          <w:rPr>
            <w:rStyle w:val="Hyperlink"/>
            <w:sz w:val="18"/>
            <w:szCs w:val="18"/>
            <w:lang w:val="en-GB"/>
          </w:rPr>
          <w:t>http://www.fmf.gov.ba/v2/userfiles/userfiles/file/budzet2016/Prihodi%20-%20bos.pdf</w:t>
        </w:r>
      </w:hyperlink>
    </w:p>
  </w:footnote>
  <w:footnote w:id="6">
    <w:p w:rsidR="00B829AF" w:rsidRPr="00B94524" w:rsidRDefault="00B829AF" w:rsidP="00F27C15">
      <w:pPr>
        <w:pStyle w:val="FootnoteText"/>
        <w:snapToGrid w:val="0"/>
        <w:spacing w:after="0"/>
        <w:rPr>
          <w:sz w:val="18"/>
          <w:szCs w:val="18"/>
          <w:lang w:val="en-GB"/>
        </w:rPr>
      </w:pPr>
      <w:r w:rsidRPr="00B94524">
        <w:rPr>
          <w:rStyle w:val="FootnoteReference"/>
          <w:sz w:val="18"/>
          <w:szCs w:val="18"/>
          <w:lang w:val="en-GB"/>
        </w:rPr>
        <w:footnoteRef/>
      </w:r>
      <w:r w:rsidRPr="00B94524">
        <w:rPr>
          <w:sz w:val="18"/>
          <w:szCs w:val="18"/>
          <w:lang w:val="en-GB"/>
        </w:rPr>
        <w:t xml:space="preserve"> </w:t>
      </w:r>
      <w:hyperlink r:id="rId3" w:history="1">
        <w:r w:rsidRPr="00B94524">
          <w:rPr>
            <w:rStyle w:val="Hyperlink"/>
            <w:sz w:val="18"/>
            <w:szCs w:val="18"/>
            <w:lang w:val="en-GB"/>
          </w:rPr>
          <w:t>http://unstats.un.org/unsd/cr/registry/regcst.asp?Cl=4</w:t>
        </w:r>
      </w:hyperlink>
    </w:p>
  </w:footnote>
  <w:footnote w:id="7">
    <w:p w:rsidR="00B829AF" w:rsidRPr="00B94524" w:rsidRDefault="00B829AF" w:rsidP="0097038D">
      <w:pPr>
        <w:pStyle w:val="FootnoteText"/>
        <w:spacing w:after="0" w:line="240" w:lineRule="auto"/>
        <w:rPr>
          <w:sz w:val="18"/>
          <w:szCs w:val="18"/>
          <w:lang w:val="en-GB"/>
        </w:rPr>
      </w:pPr>
      <w:r w:rsidRPr="00B94524">
        <w:rPr>
          <w:rStyle w:val="FootnoteReference"/>
          <w:sz w:val="18"/>
          <w:szCs w:val="18"/>
          <w:lang w:val="en-GB"/>
        </w:rPr>
        <w:footnoteRef/>
      </w:r>
      <w:r w:rsidRPr="00B94524">
        <w:rPr>
          <w:sz w:val="18"/>
          <w:szCs w:val="18"/>
          <w:lang w:val="en-GB"/>
        </w:rPr>
        <w:t xml:space="preserve"> </w:t>
      </w:r>
      <w:hyperlink r:id="rId4" w:history="1">
        <w:r w:rsidRPr="00E1251F">
          <w:rPr>
            <w:rStyle w:val="Hyperlink"/>
            <w:sz w:val="18"/>
            <w:szCs w:val="18"/>
            <w:lang w:val="en-GB"/>
          </w:rPr>
          <w:t>http://www.mft.gov.ba/bos/index.php?option=com_content&amp;view=article&amp;id=706&amp;Itemid=100034</w:t>
        </w:r>
      </w:hyperlink>
      <w:r>
        <w:rPr>
          <w:sz w:val="18"/>
          <w:szCs w:val="18"/>
          <w:lang w:val="en-GB"/>
        </w:rPr>
        <w:t xml:space="preserve"> </w:t>
      </w:r>
    </w:p>
  </w:footnote>
  <w:footnote w:id="8">
    <w:p w:rsidR="00B829AF" w:rsidRPr="00B94524" w:rsidRDefault="00B829AF" w:rsidP="0097038D">
      <w:pPr>
        <w:pStyle w:val="FootnoteText"/>
        <w:spacing w:after="0" w:line="240" w:lineRule="auto"/>
        <w:rPr>
          <w:sz w:val="18"/>
          <w:szCs w:val="18"/>
          <w:lang w:val="en-GB"/>
        </w:rPr>
      </w:pPr>
      <w:r w:rsidRPr="00B94524">
        <w:rPr>
          <w:rStyle w:val="FootnoteReference"/>
          <w:sz w:val="18"/>
          <w:szCs w:val="18"/>
          <w:lang w:val="en-GB"/>
        </w:rPr>
        <w:footnoteRef/>
      </w:r>
      <w:hyperlink r:id="rId5" w:anchor="collapsible0" w:history="1">
        <w:r w:rsidRPr="00E1251F">
          <w:rPr>
            <w:rStyle w:val="Hyperlink"/>
            <w:sz w:val="18"/>
            <w:szCs w:val="18"/>
            <w:lang w:val="en-GB"/>
          </w:rPr>
          <w:t>http://www.vladars.net/sr-SP-Cyrl/Vlada/Ministarstva/mf/OM/harmonizacija/Pages/default.aspx#collapsible0</w:t>
        </w:r>
      </w:hyperlink>
      <w:r>
        <w:rPr>
          <w:sz w:val="18"/>
          <w:szCs w:val="18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1584F"/>
    <w:multiLevelType w:val="multilevel"/>
    <w:tmpl w:val="27C1584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156F0"/>
    <w:multiLevelType w:val="multilevel"/>
    <w:tmpl w:val="4E915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C14E1"/>
    <w:multiLevelType w:val="multilevel"/>
    <w:tmpl w:val="58FC14E1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92BA8"/>
    <w:multiLevelType w:val="multilevel"/>
    <w:tmpl w:val="65B92B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F0CE4"/>
    <w:multiLevelType w:val="multilevel"/>
    <w:tmpl w:val="7EDF0C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hyphenationZone w:val="425"/>
  <w:drawingGridHorizontalSpacing w:val="0"/>
  <w:drawingGridVerticalSpacing w:val="14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97C31"/>
    <w:rsid w:val="000027AD"/>
    <w:rsid w:val="00021C10"/>
    <w:rsid w:val="000244CC"/>
    <w:rsid w:val="000429DE"/>
    <w:rsid w:val="00051461"/>
    <w:rsid w:val="00066DA0"/>
    <w:rsid w:val="000864E3"/>
    <w:rsid w:val="0008744A"/>
    <w:rsid w:val="00095351"/>
    <w:rsid w:val="000A5523"/>
    <w:rsid w:val="000B265D"/>
    <w:rsid w:val="000C1D77"/>
    <w:rsid w:val="000D7EC8"/>
    <w:rsid w:val="000E15B3"/>
    <w:rsid w:val="000F466B"/>
    <w:rsid w:val="000F7AF7"/>
    <w:rsid w:val="00122025"/>
    <w:rsid w:val="00137C3A"/>
    <w:rsid w:val="00172ACD"/>
    <w:rsid w:val="00182285"/>
    <w:rsid w:val="001A4FB6"/>
    <w:rsid w:val="001B50E2"/>
    <w:rsid w:val="001C0BE9"/>
    <w:rsid w:val="001C77DD"/>
    <w:rsid w:val="001F1472"/>
    <w:rsid w:val="001F22DA"/>
    <w:rsid w:val="001F4319"/>
    <w:rsid w:val="00210BDB"/>
    <w:rsid w:val="0022529D"/>
    <w:rsid w:val="00230DB3"/>
    <w:rsid w:val="0023289F"/>
    <w:rsid w:val="00277E92"/>
    <w:rsid w:val="00293894"/>
    <w:rsid w:val="002A30AA"/>
    <w:rsid w:val="002A540C"/>
    <w:rsid w:val="002B2178"/>
    <w:rsid w:val="002B40F7"/>
    <w:rsid w:val="002C39F6"/>
    <w:rsid w:val="002C48EA"/>
    <w:rsid w:val="002E57B8"/>
    <w:rsid w:val="002F3057"/>
    <w:rsid w:val="003043D5"/>
    <w:rsid w:val="00326920"/>
    <w:rsid w:val="0034311A"/>
    <w:rsid w:val="003455AC"/>
    <w:rsid w:val="00350466"/>
    <w:rsid w:val="003602E4"/>
    <w:rsid w:val="0038795C"/>
    <w:rsid w:val="003A21E9"/>
    <w:rsid w:val="003A78F3"/>
    <w:rsid w:val="003B184D"/>
    <w:rsid w:val="003B454C"/>
    <w:rsid w:val="003C01A1"/>
    <w:rsid w:val="003C4578"/>
    <w:rsid w:val="003C75A1"/>
    <w:rsid w:val="00403657"/>
    <w:rsid w:val="00404A4B"/>
    <w:rsid w:val="004226AC"/>
    <w:rsid w:val="00423DE5"/>
    <w:rsid w:val="0044350C"/>
    <w:rsid w:val="00494419"/>
    <w:rsid w:val="004B732A"/>
    <w:rsid w:val="004C4564"/>
    <w:rsid w:val="004C698E"/>
    <w:rsid w:val="004D1ECC"/>
    <w:rsid w:val="004E0C49"/>
    <w:rsid w:val="004E4346"/>
    <w:rsid w:val="004F17B1"/>
    <w:rsid w:val="005140E2"/>
    <w:rsid w:val="0052700A"/>
    <w:rsid w:val="005440C8"/>
    <w:rsid w:val="005449D9"/>
    <w:rsid w:val="005474BA"/>
    <w:rsid w:val="0056310A"/>
    <w:rsid w:val="00582ED3"/>
    <w:rsid w:val="00597BBC"/>
    <w:rsid w:val="005A0980"/>
    <w:rsid w:val="005A6D3B"/>
    <w:rsid w:val="005C0110"/>
    <w:rsid w:val="005D0FF0"/>
    <w:rsid w:val="005D5F42"/>
    <w:rsid w:val="005D79C0"/>
    <w:rsid w:val="005E2E65"/>
    <w:rsid w:val="005E7D7B"/>
    <w:rsid w:val="0060062D"/>
    <w:rsid w:val="00622566"/>
    <w:rsid w:val="00624EBB"/>
    <w:rsid w:val="006313B5"/>
    <w:rsid w:val="00635FAF"/>
    <w:rsid w:val="00647EBE"/>
    <w:rsid w:val="00662C21"/>
    <w:rsid w:val="00670653"/>
    <w:rsid w:val="00684272"/>
    <w:rsid w:val="00686D4A"/>
    <w:rsid w:val="0069164E"/>
    <w:rsid w:val="00695F64"/>
    <w:rsid w:val="006A3B0B"/>
    <w:rsid w:val="006E2534"/>
    <w:rsid w:val="006F2A12"/>
    <w:rsid w:val="007070E4"/>
    <w:rsid w:val="00712AD4"/>
    <w:rsid w:val="007560A2"/>
    <w:rsid w:val="00760A16"/>
    <w:rsid w:val="00786C87"/>
    <w:rsid w:val="007A001B"/>
    <w:rsid w:val="007A394B"/>
    <w:rsid w:val="007A7EC3"/>
    <w:rsid w:val="007B2E3F"/>
    <w:rsid w:val="007B7870"/>
    <w:rsid w:val="007E17D4"/>
    <w:rsid w:val="00807313"/>
    <w:rsid w:val="0082121C"/>
    <w:rsid w:val="008234B0"/>
    <w:rsid w:val="00824D03"/>
    <w:rsid w:val="008272F3"/>
    <w:rsid w:val="00832572"/>
    <w:rsid w:val="00851539"/>
    <w:rsid w:val="00867172"/>
    <w:rsid w:val="008827BB"/>
    <w:rsid w:val="008901B4"/>
    <w:rsid w:val="00892CDA"/>
    <w:rsid w:val="008A14CE"/>
    <w:rsid w:val="008B3C2C"/>
    <w:rsid w:val="008C47DB"/>
    <w:rsid w:val="008D26E3"/>
    <w:rsid w:val="008E4232"/>
    <w:rsid w:val="009059EA"/>
    <w:rsid w:val="00913429"/>
    <w:rsid w:val="00923C9E"/>
    <w:rsid w:val="00927DE5"/>
    <w:rsid w:val="0093297B"/>
    <w:rsid w:val="0093637C"/>
    <w:rsid w:val="00961DAA"/>
    <w:rsid w:val="0097038D"/>
    <w:rsid w:val="00971DA8"/>
    <w:rsid w:val="009E2F55"/>
    <w:rsid w:val="00A012B9"/>
    <w:rsid w:val="00A061E2"/>
    <w:rsid w:val="00A40906"/>
    <w:rsid w:val="00A506C0"/>
    <w:rsid w:val="00A534FA"/>
    <w:rsid w:val="00A555F4"/>
    <w:rsid w:val="00A869EC"/>
    <w:rsid w:val="00A94FDD"/>
    <w:rsid w:val="00A97C31"/>
    <w:rsid w:val="00AA19CF"/>
    <w:rsid w:val="00AB2EB6"/>
    <w:rsid w:val="00AB7101"/>
    <w:rsid w:val="00AB7DD9"/>
    <w:rsid w:val="00AE1390"/>
    <w:rsid w:val="00B3634D"/>
    <w:rsid w:val="00B4107B"/>
    <w:rsid w:val="00B41AD8"/>
    <w:rsid w:val="00B56999"/>
    <w:rsid w:val="00B626B6"/>
    <w:rsid w:val="00B829AF"/>
    <w:rsid w:val="00B910F1"/>
    <w:rsid w:val="00B94524"/>
    <w:rsid w:val="00B97E7E"/>
    <w:rsid w:val="00BA2E10"/>
    <w:rsid w:val="00BB5814"/>
    <w:rsid w:val="00BD5520"/>
    <w:rsid w:val="00BE4AB6"/>
    <w:rsid w:val="00BF1835"/>
    <w:rsid w:val="00C03370"/>
    <w:rsid w:val="00C2200B"/>
    <w:rsid w:val="00C4359C"/>
    <w:rsid w:val="00C44A4C"/>
    <w:rsid w:val="00C55B47"/>
    <w:rsid w:val="00C753AD"/>
    <w:rsid w:val="00C93E93"/>
    <w:rsid w:val="00CB1860"/>
    <w:rsid w:val="00CC4096"/>
    <w:rsid w:val="00CD3B62"/>
    <w:rsid w:val="00CE4696"/>
    <w:rsid w:val="00CE5C40"/>
    <w:rsid w:val="00D03BBD"/>
    <w:rsid w:val="00D06646"/>
    <w:rsid w:val="00D11678"/>
    <w:rsid w:val="00D12AB4"/>
    <w:rsid w:val="00D14B1D"/>
    <w:rsid w:val="00D17353"/>
    <w:rsid w:val="00D24AD0"/>
    <w:rsid w:val="00D54297"/>
    <w:rsid w:val="00D568FB"/>
    <w:rsid w:val="00D638C6"/>
    <w:rsid w:val="00D657E9"/>
    <w:rsid w:val="00D711E5"/>
    <w:rsid w:val="00D75066"/>
    <w:rsid w:val="00D811A0"/>
    <w:rsid w:val="00D90088"/>
    <w:rsid w:val="00D9306F"/>
    <w:rsid w:val="00DA41BC"/>
    <w:rsid w:val="00DB149E"/>
    <w:rsid w:val="00E22771"/>
    <w:rsid w:val="00E30D05"/>
    <w:rsid w:val="00E3467C"/>
    <w:rsid w:val="00E4654E"/>
    <w:rsid w:val="00E63559"/>
    <w:rsid w:val="00E712FD"/>
    <w:rsid w:val="00E81D05"/>
    <w:rsid w:val="00E8250D"/>
    <w:rsid w:val="00E841EF"/>
    <w:rsid w:val="00EA41FF"/>
    <w:rsid w:val="00EB03AA"/>
    <w:rsid w:val="00EB48FA"/>
    <w:rsid w:val="00EB7D63"/>
    <w:rsid w:val="00EC4BA7"/>
    <w:rsid w:val="00ED26A4"/>
    <w:rsid w:val="00EE342A"/>
    <w:rsid w:val="00EE4620"/>
    <w:rsid w:val="00EE6D1E"/>
    <w:rsid w:val="00EF3C36"/>
    <w:rsid w:val="00EF556B"/>
    <w:rsid w:val="00F01333"/>
    <w:rsid w:val="00F03011"/>
    <w:rsid w:val="00F05D0C"/>
    <w:rsid w:val="00F22772"/>
    <w:rsid w:val="00F25120"/>
    <w:rsid w:val="00F25DE3"/>
    <w:rsid w:val="00F27C15"/>
    <w:rsid w:val="00F35A11"/>
    <w:rsid w:val="00FA279D"/>
    <w:rsid w:val="00FA68B3"/>
    <w:rsid w:val="00FB518C"/>
    <w:rsid w:val="00FD77F2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5B9D8E6-C8EB-49F6-BECF-FA9EDC50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AF7"/>
    <w:pPr>
      <w:widowControl w:val="0"/>
      <w:spacing w:after="200" w:line="276" w:lineRule="auto"/>
    </w:pPr>
    <w:rPr>
      <w:rFonts w:ascii="Calibri" w:hAnsi="Calibri"/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rsid w:val="000F7AF7"/>
    <w:pPr>
      <w:spacing w:beforeAutospacing="1" w:afterAutospacing="1" w:line="259" w:lineRule="auto"/>
      <w:outlineLvl w:val="0"/>
    </w:pPr>
    <w:rPr>
      <w:rFonts w:ascii="SimSun" w:hAnsi="SimSun" w:cs="SimSun" w:hint="eastAsia"/>
      <w:b/>
      <w:kern w:val="44"/>
      <w:sz w:val="48"/>
      <w:szCs w:val="48"/>
    </w:rPr>
  </w:style>
  <w:style w:type="paragraph" w:styleId="Heading2">
    <w:name w:val="heading 2"/>
    <w:basedOn w:val="Normal"/>
    <w:next w:val="Normal"/>
    <w:rsid w:val="000F7AF7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rsid w:val="000F7AF7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rsid w:val="000F7AF7"/>
    <w:pPr>
      <w:keepNext/>
      <w:keepLines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rsid w:val="000F7AF7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0F7AF7"/>
    <w:pPr>
      <w:keepNext/>
      <w:keepLines/>
      <w:spacing w:before="240" w:after="60" w:line="240" w:lineRule="auto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rsid w:val="000F7AF7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rsid w:val="000F7AF7"/>
    <w:pPr>
      <w:keepNext/>
      <w:keepLines/>
      <w:spacing w:before="240" w:after="60" w:line="240" w:lineRule="auto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rsid w:val="000F7AF7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F7A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7AF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F7AF7"/>
    <w:rPr>
      <w:b/>
      <w:bCs/>
    </w:rPr>
  </w:style>
  <w:style w:type="paragraph" w:styleId="Footer">
    <w:name w:val="footer"/>
    <w:basedOn w:val="Normal"/>
    <w:rsid w:val="000F7A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F7AF7"/>
    <w:pPr>
      <w:widowControl/>
    </w:pPr>
    <w:rPr>
      <w:kern w:val="0"/>
      <w:sz w:val="20"/>
      <w:szCs w:val="24"/>
    </w:rPr>
  </w:style>
  <w:style w:type="paragraph" w:styleId="Header">
    <w:name w:val="header"/>
    <w:basedOn w:val="Normal"/>
    <w:rsid w:val="000F7A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7A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</w:rPr>
  </w:style>
  <w:style w:type="paragraph" w:styleId="NormalWeb">
    <w:name w:val="Normal (Web)"/>
    <w:basedOn w:val="Normal"/>
    <w:uiPriority w:val="99"/>
    <w:unhideWhenUsed/>
    <w:rsid w:val="000F7AF7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styleId="PlainText">
    <w:name w:val="Plain Text"/>
    <w:basedOn w:val="Normal"/>
    <w:rsid w:val="000F7AF7"/>
    <w:pPr>
      <w:spacing w:after="0" w:line="240" w:lineRule="auto"/>
    </w:pPr>
    <w:rPr>
      <w:szCs w:val="21"/>
    </w:rPr>
  </w:style>
  <w:style w:type="paragraph" w:styleId="TOC1">
    <w:name w:val="toc 1"/>
    <w:basedOn w:val="Normal"/>
    <w:next w:val="Normal"/>
    <w:uiPriority w:val="39"/>
    <w:rsid w:val="000F7AF7"/>
  </w:style>
  <w:style w:type="paragraph" w:styleId="TOC2">
    <w:name w:val="toc 2"/>
    <w:basedOn w:val="Normal"/>
    <w:next w:val="Normal"/>
    <w:uiPriority w:val="39"/>
    <w:rsid w:val="000F7AF7"/>
    <w:pPr>
      <w:ind w:leftChars="200" w:left="420"/>
    </w:pPr>
  </w:style>
  <w:style w:type="paragraph" w:styleId="TOC3">
    <w:name w:val="toc 3"/>
    <w:basedOn w:val="Normal"/>
    <w:next w:val="Normal"/>
    <w:uiPriority w:val="39"/>
    <w:rsid w:val="000F7AF7"/>
    <w:pPr>
      <w:ind w:leftChars="400" w:left="840"/>
    </w:pPr>
  </w:style>
  <w:style w:type="paragraph" w:styleId="TOC4">
    <w:name w:val="toc 4"/>
    <w:basedOn w:val="Normal"/>
    <w:next w:val="Normal"/>
    <w:semiHidden/>
    <w:rsid w:val="000F7AF7"/>
    <w:pPr>
      <w:ind w:leftChars="600" w:left="1260"/>
    </w:pPr>
  </w:style>
  <w:style w:type="paragraph" w:styleId="TOC5">
    <w:name w:val="toc 5"/>
    <w:basedOn w:val="Normal"/>
    <w:next w:val="Normal"/>
    <w:semiHidden/>
    <w:rsid w:val="000F7AF7"/>
    <w:pPr>
      <w:ind w:leftChars="800" w:left="1680"/>
    </w:pPr>
  </w:style>
  <w:style w:type="paragraph" w:styleId="TOC6">
    <w:name w:val="toc 6"/>
    <w:basedOn w:val="Normal"/>
    <w:next w:val="Normal"/>
    <w:semiHidden/>
    <w:rsid w:val="000F7AF7"/>
    <w:pPr>
      <w:ind w:leftChars="1000" w:left="2100"/>
    </w:pPr>
  </w:style>
  <w:style w:type="paragraph" w:styleId="TOC7">
    <w:name w:val="toc 7"/>
    <w:basedOn w:val="Normal"/>
    <w:next w:val="Normal"/>
    <w:semiHidden/>
    <w:rsid w:val="000F7AF7"/>
    <w:pPr>
      <w:ind w:leftChars="1200" w:left="2520"/>
    </w:pPr>
  </w:style>
  <w:style w:type="paragraph" w:styleId="TOC8">
    <w:name w:val="toc 8"/>
    <w:basedOn w:val="Normal"/>
    <w:next w:val="Normal"/>
    <w:semiHidden/>
    <w:rsid w:val="000F7AF7"/>
    <w:pPr>
      <w:ind w:leftChars="1400" w:left="2940"/>
    </w:pPr>
  </w:style>
  <w:style w:type="paragraph" w:styleId="TOC9">
    <w:name w:val="toc 9"/>
    <w:basedOn w:val="Normal"/>
    <w:next w:val="Normal"/>
    <w:semiHidden/>
    <w:rsid w:val="000F7AF7"/>
    <w:pPr>
      <w:ind w:leftChars="1600" w:left="3360"/>
    </w:pPr>
  </w:style>
  <w:style w:type="character" w:styleId="CommentReference">
    <w:name w:val="annotation reference"/>
    <w:semiHidden/>
    <w:rsid w:val="000F7AF7"/>
    <w:rPr>
      <w:sz w:val="16"/>
      <w:szCs w:val="16"/>
    </w:rPr>
  </w:style>
  <w:style w:type="character" w:styleId="Emphasis">
    <w:name w:val="Emphasis"/>
    <w:uiPriority w:val="20"/>
    <w:qFormat/>
    <w:rsid w:val="000F7AF7"/>
    <w:rPr>
      <w:i/>
      <w:iCs/>
    </w:rPr>
  </w:style>
  <w:style w:type="character" w:styleId="FootnoteReference">
    <w:name w:val="footnote reference"/>
    <w:semiHidden/>
    <w:rsid w:val="000F7AF7"/>
    <w:rPr>
      <w:vertAlign w:val="superscript"/>
    </w:rPr>
  </w:style>
  <w:style w:type="character" w:styleId="Hyperlink">
    <w:name w:val="Hyperlink"/>
    <w:uiPriority w:val="99"/>
    <w:unhideWhenUsed/>
    <w:rsid w:val="000F7AF7"/>
    <w:rPr>
      <w:color w:val="0000FF"/>
      <w:u w:val="single"/>
    </w:rPr>
  </w:style>
  <w:style w:type="character" w:styleId="Strong">
    <w:name w:val="Strong"/>
    <w:uiPriority w:val="22"/>
    <w:qFormat/>
    <w:rsid w:val="000F7AF7"/>
    <w:rPr>
      <w:b/>
      <w:b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AF7"/>
    <w:pPr>
      <w:spacing w:before="480" w:line="276" w:lineRule="auto"/>
      <w:outlineLvl w:val="9"/>
    </w:pPr>
    <w:rPr>
      <w:rFonts w:ascii="Cambria" w:eastAsia="MS Gothic" w:hAnsi="Cambria"/>
      <w:bCs/>
      <w:color w:val="365F91"/>
      <w:kern w:val="0"/>
      <w:sz w:val="28"/>
      <w:szCs w:val="28"/>
      <w:lang w:eastAsia="ja-JP"/>
    </w:rPr>
  </w:style>
  <w:style w:type="paragraph" w:customStyle="1" w:styleId="footnotedescription">
    <w:name w:val="footnote description"/>
    <w:next w:val="Normal"/>
    <w:hidden/>
    <w:rsid w:val="000F7AF7"/>
    <w:pPr>
      <w:spacing w:after="160" w:line="259" w:lineRule="auto"/>
    </w:pPr>
    <w:rPr>
      <w:rFonts w:ascii="Calibri" w:eastAsia="Calibri" w:hAnsi="Calibri" w:cs="Calibri"/>
      <w:color w:val="000000"/>
      <w:sz w:val="18"/>
      <w:lang w:val="en-US" w:eastAsia="zh-CN"/>
    </w:rPr>
  </w:style>
  <w:style w:type="paragraph" w:customStyle="1" w:styleId="Default">
    <w:name w:val="Default"/>
    <w:rsid w:val="000F7AF7"/>
    <w:pPr>
      <w:autoSpaceDE w:val="0"/>
      <w:autoSpaceDN w:val="0"/>
      <w:adjustRightInd w:val="0"/>
      <w:spacing w:after="160" w:line="259" w:lineRule="auto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customStyle="1" w:styleId="ListParagraph1">
    <w:name w:val="List Paragraph1"/>
    <w:basedOn w:val="Normal"/>
    <w:uiPriority w:val="34"/>
    <w:qFormat/>
    <w:rsid w:val="000F7AF7"/>
    <w:pPr>
      <w:widowControl/>
      <w:ind w:left="720"/>
      <w:contextualSpacing/>
    </w:pPr>
    <w:rPr>
      <w:kern w:val="0"/>
      <w:szCs w:val="24"/>
    </w:rPr>
  </w:style>
  <w:style w:type="character" w:customStyle="1" w:styleId="FootnoteTextChar">
    <w:name w:val="Footnote Text Char"/>
    <w:link w:val="FootnoteText"/>
    <w:semiHidden/>
    <w:rsid w:val="000F7AF7"/>
    <w:rPr>
      <w:rFonts w:ascii="Calibri" w:hAnsi="Calibri"/>
      <w:szCs w:val="24"/>
      <w:lang w:val="en-US" w:eastAsia="zh-CN"/>
    </w:rPr>
  </w:style>
  <w:style w:type="character" w:customStyle="1" w:styleId="longtext">
    <w:name w:val="long_text"/>
    <w:basedOn w:val="DefaultParagraphFont"/>
    <w:rsid w:val="000F7AF7"/>
  </w:style>
  <w:style w:type="character" w:customStyle="1" w:styleId="footnotemark">
    <w:name w:val="footnote mark"/>
    <w:rsid w:val="000F7AF7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apple-converted-space">
    <w:name w:val="apple-converted-space"/>
    <w:rsid w:val="000F7AF7"/>
  </w:style>
  <w:style w:type="character" w:customStyle="1" w:styleId="HTMLPreformattedChar">
    <w:name w:val="HTML Preformatted Char"/>
    <w:link w:val="HTMLPreformatted"/>
    <w:uiPriority w:val="99"/>
    <w:rsid w:val="000F7AF7"/>
    <w:rPr>
      <w:rFonts w:ascii="Courier New" w:eastAsia="Times New Roman" w:hAnsi="Courier New" w:cs="Courier New"/>
    </w:rPr>
  </w:style>
  <w:style w:type="character" w:customStyle="1" w:styleId="ms-rtethemeforecolor-2-5">
    <w:name w:val="ms-rtethemeforecolor-2-5"/>
    <w:rsid w:val="000F7AF7"/>
  </w:style>
  <w:style w:type="character" w:customStyle="1" w:styleId="ms-rtefontface-1">
    <w:name w:val="ms-rtefontface-1"/>
    <w:rsid w:val="000F7AF7"/>
  </w:style>
  <w:style w:type="character" w:customStyle="1" w:styleId="BalloonTextChar">
    <w:name w:val="Balloon Text Char"/>
    <w:link w:val="BalloonText"/>
    <w:semiHidden/>
    <w:rsid w:val="000F7AF7"/>
    <w:rPr>
      <w:rFonts w:ascii="Tahoma" w:hAnsi="Tahoma" w:cs="Tahoma"/>
      <w:kern w:val="2"/>
      <w:sz w:val="16"/>
      <w:szCs w:val="16"/>
    </w:rPr>
  </w:style>
  <w:style w:type="character" w:customStyle="1" w:styleId="CommentTextChar">
    <w:name w:val="Comment Text Char"/>
    <w:link w:val="CommentText"/>
    <w:semiHidden/>
    <w:rsid w:val="000F7AF7"/>
    <w:rPr>
      <w:rFonts w:ascii="Calibri" w:hAnsi="Calibri"/>
      <w:kern w:val="2"/>
    </w:rPr>
  </w:style>
  <w:style w:type="character" w:customStyle="1" w:styleId="CommentSubjectChar">
    <w:name w:val="Comment Subject Char"/>
    <w:link w:val="CommentSubject"/>
    <w:semiHidden/>
    <w:rsid w:val="000F7AF7"/>
    <w:rPr>
      <w:rFonts w:ascii="Calibri" w:hAnsi="Calibri"/>
      <w:b/>
      <w:bCs/>
      <w:kern w:val="2"/>
    </w:rPr>
  </w:style>
  <w:style w:type="paragraph" w:styleId="NoSpacing">
    <w:name w:val="No Spacing"/>
    <w:uiPriority w:val="1"/>
    <w:qFormat/>
    <w:rsid w:val="00051461"/>
    <w:rPr>
      <w:rFonts w:ascii="Calibri" w:eastAsia="Calibri" w:hAnsi="Calibr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rsid w:val="00D568F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BF1835"/>
    <w:pPr>
      <w:widowControl/>
      <w:suppressAutoHyphens/>
      <w:spacing w:after="0" w:line="240" w:lineRule="auto"/>
    </w:pPr>
    <w:rPr>
      <w:rFonts w:eastAsia="MS Gothic" w:cs="Calibri"/>
      <w:i/>
      <w:iCs/>
      <w:color w:val="4F81BD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rsid w:val="00BF1835"/>
    <w:rPr>
      <w:rFonts w:ascii="Calibri" w:eastAsia="MS Gothic" w:hAnsi="Calibri" w:cs="Calibri"/>
      <w:i/>
      <w:iCs/>
      <w:color w:val="4F81BD"/>
      <w:spacing w:val="15"/>
      <w:kern w:val="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ladars.net/sr-SP-Cyrl/Vlada/Ministarstva/mf/Servisi/Gradjani/Documents/Pravilnik-kontni%20plan%20za%20korisnike%20prihoda%20budzeta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new.uino.gov.ba/get/385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stats.un.org/unsd/cr/registry/regcst.asp?Cl=4" TargetMode="External"/><Relationship Id="rId2" Type="http://schemas.openxmlformats.org/officeDocument/2006/relationships/hyperlink" Target="http://www.fmf.gov.ba/v2/userfiles/userfiles/file/budzet2016/Prihodi%20-%20bos.pdf" TargetMode="External"/><Relationship Id="rId1" Type="http://schemas.openxmlformats.org/officeDocument/2006/relationships/hyperlink" Target="http://www.vladars.net/sr-SP-Cyrl/Vlada/Ministarstva/mf/Documents/%D0%91%D1%83%D1%9F%D0%B5%D1%82%20%D0%A0%20%25%20D0%25%20B5%25%20D0%25%20BF%25%20D1%25%2083%25%20D0%25%20B1%25%20D0%25%20BB%25%20D0%25%20B8%25%20D0%25%20BA%25%20D0%25%20B5%25%2020%25%20D0%25%20A1%25%20D1%25%2080%25%20D0%25%20BF%25%20D1%25%2081%20%25%20D0%25%20BA%25%20D0%25%20B5%25%2020%25%20D0%25%20B7%25%20D0%25%20B0%25%20202016th%25%2020%25%20D0%25%20B3%25%20D0%25%20BE%25%20D0%25%20B4%25%20D0%25%20B8%25%20D0%25%20BD%25%20D1%25%2083_498890977.pdf" TargetMode="External"/><Relationship Id="rId5" Type="http://schemas.openxmlformats.org/officeDocument/2006/relationships/hyperlink" Target="http://www.vladars.net/sr-SP-Cyrl/Vlada/Ministarstva/mf/OM/harmonizacija/Pages/default.aspx" TargetMode="External"/><Relationship Id="rId4" Type="http://schemas.openxmlformats.org/officeDocument/2006/relationships/hyperlink" Target="http://www.mft.gov.ba/bos/index.php?option=com_content&amp;view=article&amp;id=706&amp;Itemid=10003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22</Pages>
  <Words>6746</Words>
  <Characters>38454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ANALIZA</vt:lpstr>
    </vt:vector>
  </TitlesOfParts>
  <Company>voicelove</Company>
  <LinksUpToDate>false</LinksUpToDate>
  <CharactersWithSpaces>45110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</dc:title>
  <dc:creator>Brankica</dc:creator>
  <cp:lastModifiedBy>elvira mujkic</cp:lastModifiedBy>
  <cp:revision>44</cp:revision>
  <cp:lastPrinted>2017-03-06T12:33:00Z</cp:lastPrinted>
  <dcterms:created xsi:type="dcterms:W3CDTF">2016-04-06T08:25:00Z</dcterms:created>
  <dcterms:modified xsi:type="dcterms:W3CDTF">2017-03-23T13:04:00Z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