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779D" w14:textId="17F049B3" w:rsidR="005016A4" w:rsidRDefault="005016A4" w:rsidP="005016A4">
      <w:pPr>
        <w:ind w:right="-6"/>
      </w:pPr>
      <w:r>
        <w:rPr>
          <w:noProof/>
          <w:lang w:val="bs-Latn-BA" w:eastAsia="bs-Latn-BA"/>
        </w:rPr>
        <w:drawing>
          <wp:anchor distT="0" distB="0" distL="114300" distR="114300" simplePos="0" relativeHeight="251660288" behindDoc="1" locked="0" layoutInCell="1" allowOverlap="1" wp14:anchorId="496F8E05" wp14:editId="6B899399">
            <wp:simplePos x="0" y="0"/>
            <wp:positionH relativeFrom="column">
              <wp:posOffset>2519680</wp:posOffset>
            </wp:positionH>
            <wp:positionV relativeFrom="paragraph">
              <wp:posOffset>-382905</wp:posOffset>
            </wp:positionV>
            <wp:extent cx="1134110" cy="756285"/>
            <wp:effectExtent l="0" t="0" r="889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9264" behindDoc="0" locked="0" layoutInCell="1" allowOverlap="1" wp14:anchorId="57A8369F" wp14:editId="75D5C081">
            <wp:simplePos x="0" y="0"/>
            <wp:positionH relativeFrom="column">
              <wp:posOffset>4796790</wp:posOffset>
            </wp:positionH>
            <wp:positionV relativeFrom="paragraph">
              <wp:posOffset>-295275</wp:posOffset>
            </wp:positionV>
            <wp:extent cx="466725" cy="5670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bs-Latn-BA" w:eastAsia="bs-Latn-BA"/>
        </w:rPr>
        <w:drawing>
          <wp:anchor distT="0" distB="0" distL="114300" distR="114300" simplePos="0" relativeHeight="251661312" behindDoc="1" locked="0" layoutInCell="1" allowOverlap="1" wp14:anchorId="6B4465AC" wp14:editId="403B93D8">
            <wp:simplePos x="0" y="0"/>
            <wp:positionH relativeFrom="column">
              <wp:posOffset>-182880</wp:posOffset>
            </wp:positionH>
            <wp:positionV relativeFrom="paragraph">
              <wp:posOffset>-209550</wp:posOffset>
            </wp:positionV>
            <wp:extent cx="1849755" cy="459740"/>
            <wp:effectExtent l="0" t="0" r="0" b="0"/>
            <wp:wrapNone/>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28CE3" w14:textId="77777777" w:rsidR="005016A4" w:rsidRDefault="005016A4" w:rsidP="005016A4">
      <w:pPr>
        <w:ind w:right="-6"/>
      </w:pPr>
    </w:p>
    <w:p w14:paraId="4D43CBE9" w14:textId="77777777" w:rsidR="005016A4" w:rsidRDefault="005016A4" w:rsidP="005016A4">
      <w:pPr>
        <w:ind w:right="-6"/>
      </w:pPr>
    </w:p>
    <w:p w14:paraId="3CF2959E" w14:textId="77777777" w:rsidR="005016A4" w:rsidRDefault="005016A4" w:rsidP="005016A4">
      <w:pPr>
        <w:pStyle w:val="NoSpacing"/>
        <w:ind w:right="-6"/>
        <w:jc w:val="center"/>
        <w:rPr>
          <w:sz w:val="28"/>
          <w:szCs w:val="28"/>
          <w:lang w:val="bs-Latn-BA"/>
        </w:rPr>
      </w:pPr>
    </w:p>
    <w:p w14:paraId="41629E6C" w14:textId="77777777" w:rsidR="005016A4" w:rsidRDefault="005016A4" w:rsidP="005016A4">
      <w:pPr>
        <w:pStyle w:val="NoSpacing"/>
        <w:ind w:right="-6"/>
        <w:rPr>
          <w:lang w:val="bs-Latn-BA"/>
        </w:rPr>
      </w:pPr>
    </w:p>
    <w:p w14:paraId="7F646EC5" w14:textId="77777777" w:rsidR="005016A4" w:rsidRDefault="005016A4" w:rsidP="005016A4">
      <w:pPr>
        <w:pStyle w:val="NoSpacing"/>
        <w:ind w:right="-6"/>
        <w:jc w:val="center"/>
        <w:rPr>
          <w:sz w:val="28"/>
          <w:szCs w:val="28"/>
          <w:lang w:val="bs-Latn-BA"/>
        </w:rPr>
      </w:pPr>
    </w:p>
    <w:p w14:paraId="4AFA7E17" w14:textId="77777777" w:rsidR="005016A4" w:rsidRDefault="005016A4" w:rsidP="005016A4">
      <w:pPr>
        <w:pStyle w:val="NoSpacing"/>
        <w:ind w:right="-6"/>
        <w:jc w:val="center"/>
        <w:rPr>
          <w:sz w:val="28"/>
          <w:szCs w:val="28"/>
          <w:lang w:val="bs-Latn-BA"/>
        </w:rPr>
      </w:pPr>
    </w:p>
    <w:p w14:paraId="06C42262" w14:textId="77777777" w:rsidR="005016A4" w:rsidRDefault="005016A4" w:rsidP="005016A4">
      <w:pPr>
        <w:pStyle w:val="NoSpacing"/>
        <w:ind w:right="-6"/>
        <w:jc w:val="center"/>
        <w:rPr>
          <w:sz w:val="28"/>
          <w:szCs w:val="28"/>
          <w:lang w:val="bs-Latn-BA"/>
        </w:rPr>
      </w:pPr>
    </w:p>
    <w:p w14:paraId="2D67BDE7" w14:textId="77777777" w:rsidR="005016A4" w:rsidRDefault="005016A4" w:rsidP="005016A4">
      <w:pPr>
        <w:pStyle w:val="NoSpacing"/>
        <w:ind w:right="-6"/>
        <w:jc w:val="center"/>
        <w:rPr>
          <w:sz w:val="28"/>
          <w:szCs w:val="28"/>
          <w:lang w:val="bs-Latn-BA"/>
        </w:rPr>
      </w:pPr>
    </w:p>
    <w:p w14:paraId="7FED1883" w14:textId="77777777" w:rsidR="005016A4" w:rsidRDefault="005016A4" w:rsidP="005016A4">
      <w:pPr>
        <w:pStyle w:val="NoSpacing"/>
        <w:ind w:right="-6"/>
        <w:jc w:val="center"/>
        <w:rPr>
          <w:sz w:val="28"/>
          <w:szCs w:val="28"/>
          <w:lang w:val="bs-Latn-BA"/>
        </w:rPr>
      </w:pPr>
    </w:p>
    <w:p w14:paraId="30AEFF39" w14:textId="77777777" w:rsidR="005016A4" w:rsidRDefault="005016A4" w:rsidP="005016A4">
      <w:pPr>
        <w:pStyle w:val="NoSpacing"/>
        <w:ind w:right="-6"/>
        <w:jc w:val="center"/>
        <w:rPr>
          <w:sz w:val="28"/>
          <w:szCs w:val="28"/>
          <w:lang w:val="bs-Latn-BA"/>
        </w:rPr>
      </w:pPr>
    </w:p>
    <w:p w14:paraId="4481F916" w14:textId="77777777" w:rsidR="005016A4" w:rsidRDefault="005016A4" w:rsidP="005016A4">
      <w:pPr>
        <w:pStyle w:val="NoSpacing"/>
        <w:ind w:right="-6"/>
        <w:jc w:val="center"/>
        <w:rPr>
          <w:sz w:val="28"/>
          <w:szCs w:val="28"/>
          <w:lang w:val="bs-Latn-BA"/>
        </w:rPr>
      </w:pPr>
    </w:p>
    <w:p w14:paraId="493D907E" w14:textId="77777777" w:rsidR="005016A4" w:rsidRDefault="005016A4" w:rsidP="005016A4">
      <w:pPr>
        <w:pStyle w:val="NoSpacing"/>
        <w:ind w:right="-6"/>
        <w:jc w:val="center"/>
        <w:rPr>
          <w:sz w:val="28"/>
          <w:szCs w:val="28"/>
          <w:lang w:val="bs-Latn-BA"/>
        </w:rPr>
      </w:pPr>
    </w:p>
    <w:p w14:paraId="59DD00E5" w14:textId="77777777" w:rsidR="005016A4" w:rsidRDefault="005016A4" w:rsidP="005016A4">
      <w:pPr>
        <w:pStyle w:val="NoSpacing"/>
        <w:ind w:right="-6"/>
        <w:jc w:val="center"/>
        <w:rPr>
          <w:sz w:val="28"/>
          <w:szCs w:val="28"/>
          <w:lang w:val="bs-Latn-BA"/>
        </w:rPr>
      </w:pPr>
    </w:p>
    <w:p w14:paraId="0E784A34" w14:textId="77777777" w:rsidR="005016A4" w:rsidRDefault="005016A4" w:rsidP="005016A4">
      <w:pPr>
        <w:pStyle w:val="NoSpacing"/>
        <w:ind w:right="-6"/>
        <w:jc w:val="center"/>
        <w:rPr>
          <w:sz w:val="28"/>
          <w:szCs w:val="28"/>
          <w:lang w:val="bs-Latn-BA"/>
        </w:rPr>
      </w:pPr>
    </w:p>
    <w:p w14:paraId="37C36DC8" w14:textId="77777777" w:rsidR="005016A4" w:rsidRDefault="005016A4" w:rsidP="005016A4">
      <w:pPr>
        <w:pStyle w:val="NoSpacing"/>
        <w:ind w:right="-6"/>
        <w:jc w:val="center"/>
        <w:rPr>
          <w:sz w:val="28"/>
          <w:szCs w:val="28"/>
          <w:lang w:val="bs-Latn-BA"/>
        </w:rPr>
      </w:pPr>
    </w:p>
    <w:p w14:paraId="5F5750AB" w14:textId="77777777" w:rsidR="005016A4" w:rsidRDefault="005016A4" w:rsidP="005016A4">
      <w:pPr>
        <w:pStyle w:val="NoSpacing"/>
        <w:ind w:right="-6"/>
        <w:jc w:val="center"/>
        <w:rPr>
          <w:sz w:val="28"/>
          <w:szCs w:val="28"/>
          <w:lang w:val="bs-Latn-BA"/>
        </w:rPr>
      </w:pPr>
    </w:p>
    <w:p w14:paraId="14E1D638" w14:textId="77777777" w:rsidR="005016A4" w:rsidRPr="005016A4" w:rsidRDefault="005016A4" w:rsidP="005016A4">
      <w:pPr>
        <w:autoSpaceDE w:val="0"/>
        <w:autoSpaceDN w:val="0"/>
        <w:adjustRightInd w:val="0"/>
        <w:rPr>
          <w:rFonts w:ascii="Calibri" w:hAnsi="Calibri" w:cs="Calibri"/>
          <w:color w:val="000000"/>
          <w:lang w:val="bs-Latn-BA"/>
        </w:rPr>
      </w:pPr>
    </w:p>
    <w:p w14:paraId="33BEA71C" w14:textId="15871D42" w:rsidR="005016A4" w:rsidRPr="00E3025E" w:rsidRDefault="005016A4" w:rsidP="005016A4">
      <w:pPr>
        <w:pStyle w:val="Subtitle"/>
        <w:ind w:right="-6"/>
        <w:jc w:val="center"/>
        <w:rPr>
          <w:rFonts w:eastAsia="Calibri" w:cs="Calibri"/>
          <w:b/>
          <w:i w:val="0"/>
          <w:iCs w:val="0"/>
          <w:color w:val="auto"/>
          <w:spacing w:val="0"/>
          <w:sz w:val="28"/>
          <w:szCs w:val="28"/>
          <w:lang w:val="en-US"/>
        </w:rPr>
      </w:pPr>
      <w:r w:rsidRPr="005016A4">
        <w:rPr>
          <w:rFonts w:eastAsiaTheme="minorEastAsia" w:cs="Calibri"/>
          <w:i w:val="0"/>
          <w:iCs w:val="0"/>
          <w:color w:val="000000"/>
          <w:spacing w:val="0"/>
          <w:sz w:val="24"/>
          <w:szCs w:val="24"/>
          <w:lang w:eastAsia="en-US"/>
        </w:rPr>
        <w:t xml:space="preserve"> </w:t>
      </w:r>
      <w:r w:rsidRPr="005016A4">
        <w:rPr>
          <w:rFonts w:eastAsia="Calibri" w:cs="Calibri"/>
          <w:b/>
          <w:i w:val="0"/>
          <w:iCs w:val="0"/>
          <w:color w:val="auto"/>
          <w:spacing w:val="0"/>
          <w:sz w:val="28"/>
          <w:szCs w:val="28"/>
          <w:lang w:val="en-US"/>
        </w:rPr>
        <w:t xml:space="preserve">MONITORING REZULTATA U OBLASTI TRANSPARENTNOSTI, ODGOVORNOSTI I INTEGRITETA U JAVNOJ UPRAVI </w:t>
      </w:r>
      <w:r w:rsidR="0078475C">
        <w:rPr>
          <w:rFonts w:eastAsia="Calibri" w:cs="Calibri"/>
          <w:b/>
          <w:i w:val="0"/>
          <w:iCs w:val="0"/>
          <w:color w:val="auto"/>
          <w:spacing w:val="0"/>
          <w:sz w:val="28"/>
          <w:szCs w:val="28"/>
          <w:lang w:val="en-US"/>
        </w:rPr>
        <w:t>ZA</w:t>
      </w:r>
      <w:r w:rsidR="00B81AA7">
        <w:rPr>
          <w:rFonts w:eastAsia="Calibri" w:cs="Calibri"/>
          <w:b/>
          <w:i w:val="0"/>
          <w:iCs w:val="0"/>
          <w:color w:val="auto"/>
          <w:spacing w:val="0"/>
          <w:sz w:val="28"/>
          <w:szCs w:val="28"/>
          <w:lang w:val="en-US"/>
        </w:rPr>
        <w:t xml:space="preserve"> </w:t>
      </w:r>
      <w:r>
        <w:rPr>
          <w:rFonts w:eastAsia="Calibri" w:cs="Calibri"/>
          <w:b/>
          <w:i w:val="0"/>
          <w:iCs w:val="0"/>
          <w:color w:val="auto"/>
          <w:spacing w:val="0"/>
          <w:sz w:val="28"/>
          <w:szCs w:val="28"/>
          <w:lang w:val="en-US"/>
        </w:rPr>
        <w:t>PERIOD 2014</w:t>
      </w:r>
      <w:r w:rsidR="0078475C">
        <w:rPr>
          <w:rFonts w:eastAsia="Calibri" w:cs="Calibri"/>
          <w:b/>
          <w:i w:val="0"/>
          <w:iCs w:val="0"/>
          <w:color w:val="auto"/>
          <w:spacing w:val="0"/>
          <w:sz w:val="28"/>
          <w:szCs w:val="28"/>
          <w:lang w:val="en-US"/>
        </w:rPr>
        <w:t>.</w:t>
      </w:r>
      <w:r>
        <w:rPr>
          <w:rFonts w:eastAsia="Calibri" w:cs="Calibri"/>
          <w:b/>
          <w:i w:val="0"/>
          <w:iCs w:val="0"/>
          <w:color w:val="auto"/>
          <w:spacing w:val="0"/>
          <w:sz w:val="28"/>
          <w:szCs w:val="28"/>
          <w:lang w:val="en-US"/>
        </w:rPr>
        <w:t>-2015</w:t>
      </w:r>
      <w:r w:rsidR="0078475C">
        <w:rPr>
          <w:rFonts w:eastAsia="Calibri" w:cs="Calibri"/>
          <w:b/>
          <w:i w:val="0"/>
          <w:iCs w:val="0"/>
          <w:color w:val="auto"/>
          <w:spacing w:val="0"/>
          <w:sz w:val="28"/>
          <w:szCs w:val="28"/>
          <w:lang w:val="en-US"/>
        </w:rPr>
        <w:t>.</w:t>
      </w:r>
      <w:r w:rsidR="00E55E1C">
        <w:rPr>
          <w:rFonts w:eastAsia="Calibri" w:cs="Calibri"/>
          <w:b/>
          <w:i w:val="0"/>
          <w:iCs w:val="0"/>
          <w:color w:val="auto"/>
          <w:spacing w:val="0"/>
          <w:sz w:val="28"/>
          <w:szCs w:val="28"/>
          <w:lang w:val="en-US"/>
        </w:rPr>
        <w:t xml:space="preserve"> GODINA</w:t>
      </w:r>
    </w:p>
    <w:p w14:paraId="341DA1BB" w14:textId="77777777" w:rsidR="005016A4" w:rsidRDefault="005016A4" w:rsidP="005016A4">
      <w:pPr>
        <w:pStyle w:val="NoSpacing"/>
        <w:spacing w:before="240"/>
        <w:ind w:right="-6"/>
        <w:jc w:val="center"/>
        <w:rPr>
          <w:lang w:val="bs-Latn-BA"/>
        </w:rPr>
      </w:pPr>
      <w:r>
        <w:rPr>
          <w:lang w:val="bs-Latn-BA"/>
        </w:rPr>
        <w:t>-FINALNI IZVJEŠTAJ-</w:t>
      </w:r>
    </w:p>
    <w:p w14:paraId="6FD2647D" w14:textId="77777777" w:rsidR="005016A4" w:rsidRDefault="005016A4" w:rsidP="005016A4">
      <w:pPr>
        <w:pStyle w:val="NoSpacing"/>
        <w:ind w:right="-6"/>
        <w:jc w:val="center"/>
        <w:rPr>
          <w:b/>
          <w:lang w:val="bs-Latn-BA"/>
        </w:rPr>
      </w:pPr>
    </w:p>
    <w:p w14:paraId="7565FC47" w14:textId="77777777" w:rsidR="005016A4" w:rsidRDefault="005016A4" w:rsidP="005016A4">
      <w:pPr>
        <w:pStyle w:val="NoSpacing"/>
        <w:ind w:right="-6"/>
        <w:jc w:val="center"/>
        <w:rPr>
          <w:b/>
          <w:lang w:val="bs-Latn-BA"/>
        </w:rPr>
      </w:pPr>
    </w:p>
    <w:p w14:paraId="648C2D25" w14:textId="77777777" w:rsidR="005016A4" w:rsidRDefault="005016A4" w:rsidP="005016A4">
      <w:pPr>
        <w:pStyle w:val="NoSpacing"/>
        <w:ind w:right="-6"/>
        <w:jc w:val="center"/>
        <w:rPr>
          <w:lang w:val="bs-Latn-BA"/>
        </w:rPr>
      </w:pPr>
    </w:p>
    <w:p w14:paraId="70ACE04C" w14:textId="77777777" w:rsidR="005016A4" w:rsidRDefault="005016A4" w:rsidP="005016A4">
      <w:pPr>
        <w:pStyle w:val="NoSpacing"/>
        <w:ind w:right="-6"/>
        <w:rPr>
          <w:lang w:val="bs-Latn-BA"/>
        </w:rPr>
      </w:pPr>
    </w:p>
    <w:p w14:paraId="3325A71E" w14:textId="77777777" w:rsidR="005016A4" w:rsidRDefault="005016A4" w:rsidP="005016A4">
      <w:pPr>
        <w:ind w:right="-6"/>
        <w:rPr>
          <w:i/>
          <w:lang w:val="sr-Latn-BA"/>
        </w:rPr>
      </w:pPr>
    </w:p>
    <w:p w14:paraId="4688E5C4" w14:textId="77777777" w:rsidR="005016A4" w:rsidRDefault="005016A4" w:rsidP="005016A4">
      <w:pPr>
        <w:ind w:right="-6"/>
        <w:rPr>
          <w:i/>
          <w:lang w:val="sr-Latn-BA"/>
        </w:rPr>
      </w:pPr>
    </w:p>
    <w:p w14:paraId="0CE36F11" w14:textId="77777777" w:rsidR="005016A4" w:rsidRDefault="005016A4" w:rsidP="005016A4">
      <w:pPr>
        <w:ind w:right="-6"/>
        <w:rPr>
          <w:i/>
          <w:lang w:val="sr-Latn-BA"/>
        </w:rPr>
      </w:pPr>
    </w:p>
    <w:p w14:paraId="0C289102" w14:textId="77777777" w:rsidR="005016A4" w:rsidRDefault="005016A4" w:rsidP="005016A4">
      <w:pPr>
        <w:ind w:right="-6"/>
        <w:rPr>
          <w:i/>
          <w:lang w:val="sr-Latn-BA"/>
        </w:rPr>
      </w:pPr>
    </w:p>
    <w:p w14:paraId="63EEF78E" w14:textId="77777777" w:rsidR="005016A4" w:rsidRDefault="005016A4" w:rsidP="005016A4">
      <w:pPr>
        <w:ind w:right="-6"/>
        <w:rPr>
          <w:i/>
          <w:lang w:val="sr-Latn-BA"/>
        </w:rPr>
      </w:pPr>
    </w:p>
    <w:p w14:paraId="0B4FA530" w14:textId="77777777" w:rsidR="005016A4" w:rsidRDefault="005016A4" w:rsidP="005016A4">
      <w:pPr>
        <w:ind w:right="-6"/>
        <w:rPr>
          <w:i/>
          <w:lang w:val="sr-Latn-BA"/>
        </w:rPr>
      </w:pPr>
    </w:p>
    <w:p w14:paraId="0980E367" w14:textId="77777777" w:rsidR="005016A4" w:rsidRDefault="005016A4" w:rsidP="005016A4">
      <w:pPr>
        <w:ind w:right="-6"/>
        <w:rPr>
          <w:i/>
          <w:lang w:val="sr-Latn-BA"/>
        </w:rPr>
      </w:pPr>
    </w:p>
    <w:p w14:paraId="30A0AC67" w14:textId="77777777" w:rsidR="005016A4" w:rsidRDefault="005016A4" w:rsidP="005016A4">
      <w:pPr>
        <w:ind w:right="-6"/>
        <w:rPr>
          <w:i/>
          <w:lang w:val="sr-Latn-BA"/>
        </w:rPr>
      </w:pPr>
    </w:p>
    <w:p w14:paraId="1F02B7EC" w14:textId="77777777" w:rsidR="005016A4" w:rsidRDefault="005016A4" w:rsidP="005016A4">
      <w:pPr>
        <w:ind w:right="-6"/>
        <w:rPr>
          <w:i/>
          <w:lang w:val="sr-Latn-BA"/>
        </w:rPr>
      </w:pPr>
    </w:p>
    <w:p w14:paraId="46569DAB" w14:textId="77777777" w:rsidR="005016A4" w:rsidRDefault="005016A4" w:rsidP="005016A4">
      <w:pPr>
        <w:ind w:right="-6"/>
        <w:rPr>
          <w:i/>
          <w:lang w:val="sr-Latn-BA"/>
        </w:rPr>
      </w:pPr>
    </w:p>
    <w:p w14:paraId="03EB8729" w14:textId="77777777" w:rsidR="005016A4" w:rsidRDefault="005016A4" w:rsidP="005016A4">
      <w:pPr>
        <w:ind w:right="-6"/>
        <w:rPr>
          <w:i/>
          <w:lang w:val="sr-Latn-BA"/>
        </w:rPr>
      </w:pPr>
    </w:p>
    <w:p w14:paraId="7DACE1CB" w14:textId="77777777" w:rsidR="005016A4" w:rsidRDefault="005016A4" w:rsidP="005016A4">
      <w:pPr>
        <w:ind w:right="-6"/>
        <w:rPr>
          <w:i/>
          <w:lang w:val="sr-Latn-BA"/>
        </w:rPr>
      </w:pPr>
    </w:p>
    <w:p w14:paraId="306CC745" w14:textId="77777777" w:rsidR="005016A4" w:rsidRDefault="005016A4" w:rsidP="005016A4">
      <w:pPr>
        <w:ind w:right="-6"/>
        <w:rPr>
          <w:i/>
          <w:lang w:val="sr-Latn-BA"/>
        </w:rPr>
      </w:pPr>
    </w:p>
    <w:p w14:paraId="58257503" w14:textId="77777777" w:rsidR="005016A4" w:rsidRDefault="005016A4" w:rsidP="005016A4">
      <w:pPr>
        <w:ind w:right="-6"/>
        <w:rPr>
          <w:i/>
          <w:lang w:val="sr-Latn-BA"/>
        </w:rPr>
      </w:pPr>
    </w:p>
    <w:p w14:paraId="3006D0DA" w14:textId="77777777" w:rsidR="005016A4" w:rsidRPr="00957337" w:rsidRDefault="005016A4" w:rsidP="005016A4">
      <w:pPr>
        <w:spacing w:line="276" w:lineRule="auto"/>
        <w:ind w:right="-6"/>
        <w:jc w:val="center"/>
        <w:rPr>
          <w:rFonts w:ascii="Calibri" w:eastAsia="Calibri" w:hAnsi="Calibri"/>
          <w:i/>
          <w:sz w:val="22"/>
          <w:szCs w:val="22"/>
          <w:lang w:val="sr-Latn-BA"/>
        </w:rPr>
      </w:pPr>
      <w:r w:rsidRPr="00957337">
        <w:rPr>
          <w:rFonts w:ascii="Calibri" w:eastAsia="Calibri" w:hAnsi="Calibri"/>
          <w:i/>
          <w:sz w:val="22"/>
          <w:szCs w:val="22"/>
          <w:lang w:val="sr-Latn-BA"/>
        </w:rPr>
        <w:t>Ovaj dokument sačinjen je u okviru projekta Monitoring reforme javne uprave (PARM), implementiran od strane TI BiH i CIN-a, uz finansijsku podršku Švedske međunarodne agencije za razvoj (SIDA) i Vlade Danske. Mišljenja i stavovi u ovom dokumentu predstavljaju isključivo stavove TI BiH-a i ni na koji način ne odražavaju stavove SIDA-e ili Vlade Danske.</w:t>
      </w:r>
    </w:p>
    <w:p w14:paraId="10871018" w14:textId="7E642BBD" w:rsidR="005016A4" w:rsidRPr="00957337" w:rsidRDefault="005016A4" w:rsidP="005016A4">
      <w:pPr>
        <w:spacing w:before="240" w:after="200" w:line="276" w:lineRule="auto"/>
        <w:ind w:right="-6"/>
        <w:jc w:val="center"/>
        <w:rPr>
          <w:rFonts w:ascii="Calibri" w:eastAsia="Calibri" w:hAnsi="Calibri"/>
          <w:b/>
          <w:sz w:val="22"/>
          <w:szCs w:val="22"/>
          <w:lang w:val="sr-Latn-BA"/>
        </w:rPr>
      </w:pPr>
      <w:r>
        <w:rPr>
          <w:rFonts w:ascii="Calibri" w:eastAsia="Calibri" w:hAnsi="Calibri"/>
          <w:b/>
          <w:sz w:val="22"/>
          <w:szCs w:val="22"/>
          <w:lang w:val="sr-Latn-BA"/>
        </w:rPr>
        <w:t>Mart 2016</w:t>
      </w:r>
      <w:r w:rsidRPr="00957337">
        <w:rPr>
          <w:rFonts w:ascii="Calibri" w:eastAsia="Calibri" w:hAnsi="Calibri"/>
          <w:b/>
          <w:sz w:val="22"/>
          <w:szCs w:val="22"/>
          <w:lang w:val="sr-Latn-BA"/>
        </w:rPr>
        <w:t>.</w:t>
      </w:r>
    </w:p>
    <w:p w14:paraId="782503B2" w14:textId="7F3C306A" w:rsidR="00561568" w:rsidRPr="00561568" w:rsidRDefault="00561568" w:rsidP="00561568">
      <w:pPr>
        <w:rPr>
          <w:rFonts w:asciiTheme="majorHAnsi" w:eastAsia="Calibri" w:hAnsiTheme="majorHAnsi" w:cs="Times New Roman"/>
          <w:b/>
          <w:sz w:val="22"/>
          <w:szCs w:val="22"/>
          <w:lang w:val="bs-Latn-BA"/>
        </w:rPr>
      </w:pPr>
      <w:r w:rsidRPr="00561568">
        <w:rPr>
          <w:rFonts w:asciiTheme="majorHAnsi" w:eastAsia="Calibri" w:hAnsiTheme="majorHAnsi" w:cs="Times New Roman"/>
          <w:b/>
          <w:sz w:val="22"/>
          <w:szCs w:val="22"/>
          <w:lang w:val="bs-Latn-BA"/>
        </w:rPr>
        <w:lastRenderedPageBreak/>
        <w:t>SKRAĆENICE</w:t>
      </w:r>
    </w:p>
    <w:p w14:paraId="1BCFFD44" w14:textId="77777777" w:rsidR="00561568" w:rsidRPr="00561568" w:rsidRDefault="00561568" w:rsidP="00561568">
      <w:pPr>
        <w:rPr>
          <w:rFonts w:asciiTheme="majorHAnsi" w:eastAsia="Calibri" w:hAnsiTheme="majorHAnsi" w:cs="Times New Roman"/>
          <w:sz w:val="22"/>
          <w:szCs w:val="22"/>
          <w:lang w:val="bs-Latn-BA"/>
        </w:rPr>
      </w:pPr>
    </w:p>
    <w:tbl>
      <w:tblPr>
        <w:tblW w:w="8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6776"/>
      </w:tblGrid>
      <w:tr w:rsidR="00561568" w:rsidRPr="00561568" w14:paraId="5E8F7AB8" w14:textId="77777777" w:rsidTr="00561568">
        <w:trPr>
          <w:trHeight w:val="90"/>
        </w:trPr>
        <w:tc>
          <w:tcPr>
            <w:tcW w:w="1804" w:type="dxa"/>
          </w:tcPr>
          <w:p w14:paraId="3F0BCE48" w14:textId="103322FF" w:rsidR="00561568" w:rsidRPr="00561568" w:rsidRDefault="00254315" w:rsidP="00561568">
            <w:pPr>
              <w:spacing w:line="360" w:lineRule="auto"/>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t>Bi</w:t>
            </w:r>
            <w:r w:rsidR="00561568" w:rsidRPr="00561568">
              <w:rPr>
                <w:rFonts w:asciiTheme="majorHAnsi" w:eastAsia="Calibri" w:hAnsiTheme="majorHAnsi" w:cs="Times New Roman"/>
                <w:sz w:val="22"/>
                <w:szCs w:val="22"/>
                <w:lang w:val="bs-Latn-BA"/>
              </w:rPr>
              <w:t>H</w:t>
            </w:r>
          </w:p>
        </w:tc>
        <w:tc>
          <w:tcPr>
            <w:tcW w:w="6776" w:type="dxa"/>
          </w:tcPr>
          <w:p w14:paraId="42F57B7E"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Bosna i Hercegovina</w:t>
            </w:r>
          </w:p>
        </w:tc>
      </w:tr>
      <w:tr w:rsidR="00561568" w:rsidRPr="00561568" w14:paraId="3AC35443" w14:textId="77777777" w:rsidTr="00561568">
        <w:trPr>
          <w:trHeight w:val="90"/>
        </w:trPr>
        <w:tc>
          <w:tcPr>
            <w:tcW w:w="1804" w:type="dxa"/>
          </w:tcPr>
          <w:p w14:paraId="4163DEE7"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BD</w:t>
            </w:r>
          </w:p>
        </w:tc>
        <w:tc>
          <w:tcPr>
            <w:tcW w:w="6776" w:type="dxa"/>
          </w:tcPr>
          <w:p w14:paraId="2F6B19A3"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Brčko distrikt</w:t>
            </w:r>
          </w:p>
        </w:tc>
      </w:tr>
      <w:tr w:rsidR="00561568" w:rsidRPr="00561568" w14:paraId="4C7262DC" w14:textId="77777777" w:rsidTr="00561568">
        <w:trPr>
          <w:trHeight w:val="90"/>
        </w:trPr>
        <w:tc>
          <w:tcPr>
            <w:tcW w:w="1804" w:type="dxa"/>
          </w:tcPr>
          <w:p w14:paraId="72846434" w14:textId="61AE5CA7" w:rsidR="00561568" w:rsidRPr="00561568" w:rsidRDefault="00254315" w:rsidP="00561568">
            <w:pPr>
              <w:spacing w:line="360" w:lineRule="auto"/>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t>FBi</w:t>
            </w:r>
            <w:r w:rsidR="00561568" w:rsidRPr="00561568">
              <w:rPr>
                <w:rFonts w:asciiTheme="majorHAnsi" w:eastAsia="Calibri" w:hAnsiTheme="majorHAnsi" w:cs="Times New Roman"/>
                <w:sz w:val="22"/>
                <w:szCs w:val="22"/>
                <w:lang w:val="bs-Latn-BA"/>
              </w:rPr>
              <w:t>H</w:t>
            </w:r>
          </w:p>
        </w:tc>
        <w:tc>
          <w:tcPr>
            <w:tcW w:w="6776" w:type="dxa"/>
          </w:tcPr>
          <w:p w14:paraId="5C05253C"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Federacija Bosne i Hercegovine</w:t>
            </w:r>
          </w:p>
        </w:tc>
      </w:tr>
      <w:tr w:rsidR="00561568" w:rsidRPr="00561568" w14:paraId="21D6A5C1" w14:textId="77777777" w:rsidTr="00561568">
        <w:trPr>
          <w:trHeight w:val="90"/>
        </w:trPr>
        <w:tc>
          <w:tcPr>
            <w:tcW w:w="1804" w:type="dxa"/>
          </w:tcPr>
          <w:p w14:paraId="5B47799F"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RS</w:t>
            </w:r>
          </w:p>
        </w:tc>
        <w:tc>
          <w:tcPr>
            <w:tcW w:w="6776" w:type="dxa"/>
          </w:tcPr>
          <w:p w14:paraId="6011B196" w14:textId="77777777" w:rsidR="00561568" w:rsidRPr="00561568" w:rsidRDefault="00561568" w:rsidP="00561568">
            <w:pPr>
              <w:spacing w:line="360" w:lineRule="auto"/>
              <w:rPr>
                <w:rFonts w:asciiTheme="majorHAnsi" w:eastAsia="Calibri" w:hAnsiTheme="majorHAnsi" w:cs="Times New Roman"/>
                <w:sz w:val="22"/>
                <w:szCs w:val="22"/>
                <w:lang w:val="bs-Latn-BA"/>
              </w:rPr>
            </w:pPr>
            <w:r w:rsidRPr="00561568">
              <w:rPr>
                <w:rFonts w:asciiTheme="majorHAnsi" w:eastAsia="Calibri" w:hAnsiTheme="majorHAnsi" w:cs="Times New Roman"/>
                <w:sz w:val="22"/>
                <w:szCs w:val="22"/>
                <w:lang w:val="bs-Latn-BA"/>
              </w:rPr>
              <w:t>Republika Srpska</w:t>
            </w:r>
          </w:p>
        </w:tc>
      </w:tr>
      <w:tr w:rsidR="006D17E0" w:rsidRPr="00561568" w14:paraId="4E35E33B" w14:textId="77777777" w:rsidTr="00561568">
        <w:trPr>
          <w:trHeight w:val="90"/>
        </w:trPr>
        <w:tc>
          <w:tcPr>
            <w:tcW w:w="1804" w:type="dxa"/>
          </w:tcPr>
          <w:p w14:paraId="4B5A9C70" w14:textId="20A83795" w:rsidR="006D17E0" w:rsidRPr="00561568" w:rsidRDefault="006D17E0" w:rsidP="00561568">
            <w:pPr>
              <w:spacing w:line="360" w:lineRule="auto"/>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t>ADS</w:t>
            </w:r>
          </w:p>
        </w:tc>
        <w:tc>
          <w:tcPr>
            <w:tcW w:w="6776" w:type="dxa"/>
          </w:tcPr>
          <w:p w14:paraId="6E304E39" w14:textId="4A6F088F" w:rsidR="006D17E0" w:rsidRPr="00561568" w:rsidRDefault="006D17E0" w:rsidP="00561568">
            <w:pPr>
              <w:spacing w:line="360" w:lineRule="auto"/>
              <w:rPr>
                <w:rFonts w:asciiTheme="majorHAnsi" w:eastAsia="Calibri" w:hAnsiTheme="majorHAnsi" w:cs="Times New Roman"/>
                <w:sz w:val="22"/>
                <w:szCs w:val="22"/>
                <w:lang w:val="bs-Latn-BA"/>
              </w:rPr>
            </w:pPr>
            <w:r w:rsidRPr="006D17E0">
              <w:rPr>
                <w:rFonts w:asciiTheme="majorHAnsi" w:eastAsia="Calibri" w:hAnsiTheme="majorHAnsi" w:cs="Times New Roman"/>
                <w:sz w:val="22"/>
                <w:szCs w:val="22"/>
                <w:lang w:val="bs-Latn-BA"/>
              </w:rPr>
              <w:t>Agencija za državnu službu</w:t>
            </w:r>
          </w:p>
        </w:tc>
      </w:tr>
      <w:tr w:rsidR="006D17E0" w:rsidRPr="00561568" w14:paraId="327D6638" w14:textId="77777777" w:rsidTr="00561568">
        <w:trPr>
          <w:trHeight w:val="90"/>
        </w:trPr>
        <w:tc>
          <w:tcPr>
            <w:tcW w:w="1804" w:type="dxa"/>
          </w:tcPr>
          <w:p w14:paraId="3946232C" w14:textId="6B77BC1B" w:rsidR="006D17E0" w:rsidRDefault="006D17E0" w:rsidP="00561568">
            <w:pPr>
              <w:spacing w:line="360" w:lineRule="auto"/>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t>ADU</w:t>
            </w:r>
          </w:p>
        </w:tc>
        <w:tc>
          <w:tcPr>
            <w:tcW w:w="6776" w:type="dxa"/>
          </w:tcPr>
          <w:p w14:paraId="52C03350" w14:textId="0FC74A3D" w:rsidR="006D17E0" w:rsidRPr="006D17E0" w:rsidRDefault="006D17E0" w:rsidP="00561568">
            <w:pPr>
              <w:spacing w:line="360" w:lineRule="auto"/>
              <w:rPr>
                <w:rFonts w:asciiTheme="majorHAnsi" w:eastAsia="Calibri" w:hAnsiTheme="majorHAnsi" w:cs="Times New Roman"/>
                <w:sz w:val="22"/>
                <w:szCs w:val="22"/>
                <w:lang w:val="bs-Latn-BA"/>
              </w:rPr>
            </w:pPr>
            <w:r w:rsidRPr="006D17E0">
              <w:rPr>
                <w:rFonts w:asciiTheme="majorHAnsi" w:eastAsia="Calibri" w:hAnsiTheme="majorHAnsi" w:cs="Times New Roman"/>
                <w:sz w:val="22"/>
                <w:szCs w:val="22"/>
                <w:lang w:val="bs-Latn-BA"/>
              </w:rPr>
              <w:t>Agencija za državnu upravu</w:t>
            </w:r>
          </w:p>
        </w:tc>
      </w:tr>
    </w:tbl>
    <w:p w14:paraId="0C709BD1" w14:textId="77777777" w:rsidR="00561568" w:rsidRPr="00561568" w:rsidRDefault="00561568" w:rsidP="00561568">
      <w:pPr>
        <w:rPr>
          <w:rFonts w:asciiTheme="majorHAnsi" w:eastAsia="Calibri" w:hAnsiTheme="majorHAnsi" w:cs="Times New Roman"/>
          <w:sz w:val="22"/>
          <w:szCs w:val="22"/>
          <w:lang w:val="bs-Latn-BA"/>
        </w:rPr>
      </w:pPr>
    </w:p>
    <w:p w14:paraId="1DE10D55" w14:textId="77777777" w:rsidR="005E61AE" w:rsidRPr="0054107F" w:rsidRDefault="005E61AE" w:rsidP="00754472">
      <w:pPr>
        <w:jc w:val="both"/>
        <w:rPr>
          <w:rFonts w:asciiTheme="majorHAnsi" w:hAnsiTheme="majorHAnsi"/>
          <w:sz w:val="22"/>
          <w:szCs w:val="22"/>
          <w:lang w:val="de-DE"/>
        </w:rPr>
      </w:pPr>
    </w:p>
    <w:p w14:paraId="2340630F" w14:textId="77777777" w:rsidR="00561568" w:rsidRDefault="00561568">
      <w:pPr>
        <w:rPr>
          <w:rFonts w:asciiTheme="majorHAnsi" w:eastAsia="Calibri" w:hAnsiTheme="majorHAnsi" w:cs="Times New Roman"/>
          <w:b/>
          <w:lang w:val="bs-Latn-BA"/>
        </w:rPr>
      </w:pPr>
      <w:r>
        <w:rPr>
          <w:rFonts w:asciiTheme="majorHAnsi" w:eastAsia="Calibri" w:hAnsiTheme="majorHAnsi" w:cs="Times New Roman"/>
          <w:b/>
          <w:lang w:val="bs-Latn-BA"/>
        </w:rPr>
        <w:br w:type="page"/>
      </w:r>
    </w:p>
    <w:p w14:paraId="385DF55B" w14:textId="7E552383" w:rsidR="00582BC3" w:rsidRPr="0054107F" w:rsidRDefault="00000C42" w:rsidP="007413CB">
      <w:pPr>
        <w:rPr>
          <w:rFonts w:asciiTheme="majorHAnsi" w:eastAsia="Calibri" w:hAnsiTheme="majorHAnsi" w:cs="Times New Roman"/>
          <w:b/>
          <w:lang w:val="bs-Latn-BA"/>
        </w:rPr>
      </w:pPr>
      <w:r w:rsidRPr="0054107F">
        <w:rPr>
          <w:rFonts w:asciiTheme="majorHAnsi" w:eastAsia="Calibri" w:hAnsiTheme="majorHAnsi" w:cs="Times New Roman"/>
          <w:b/>
          <w:lang w:val="bs-Latn-BA"/>
        </w:rPr>
        <w:lastRenderedPageBreak/>
        <w:t>UVOD I METODOLOŠKE NAPOMENE</w:t>
      </w:r>
    </w:p>
    <w:p w14:paraId="079A63FA" w14:textId="77777777" w:rsidR="00582BC3" w:rsidRPr="00582BC3" w:rsidRDefault="00582BC3" w:rsidP="00582BC3">
      <w:pPr>
        <w:jc w:val="both"/>
        <w:rPr>
          <w:rFonts w:asciiTheme="majorHAnsi" w:eastAsia="Calibri" w:hAnsiTheme="majorHAnsi" w:cs="Times New Roman"/>
          <w:sz w:val="22"/>
          <w:szCs w:val="22"/>
          <w:lang w:val="bs-Latn-BA"/>
        </w:rPr>
      </w:pPr>
    </w:p>
    <w:p w14:paraId="48FA2A70" w14:textId="5F8D12B2" w:rsidR="00582BC3" w:rsidRPr="00582BC3" w:rsidRDefault="0078475C" w:rsidP="00582BC3">
      <w:pPr>
        <w:jc w:val="both"/>
        <w:rPr>
          <w:rFonts w:asciiTheme="majorHAnsi" w:eastAsia="Calibri" w:hAnsiTheme="majorHAnsi" w:cs="Times New Roman"/>
          <w:sz w:val="22"/>
          <w:szCs w:val="22"/>
          <w:lang w:val="bs-Latn-BA"/>
        </w:rPr>
      </w:pPr>
      <w:r w:rsidRPr="0078475C">
        <w:rPr>
          <w:rFonts w:asciiTheme="majorHAnsi" w:eastAsia="Calibri" w:hAnsiTheme="majorHAnsi" w:cs="Times New Roman"/>
          <w:sz w:val="22"/>
          <w:szCs w:val="22"/>
          <w:lang w:val="bs-Latn-BA"/>
        </w:rPr>
        <w:t>Transparency International Bosne i Hercegovine (TI BiH), u saradnji sa Centrom za istraživačko novinarstvo (CIN), implementira projekat Monitoring reforme javne uprave (PARM), koji finansira Ambasada Švedske – Švedska Međunarodna Agencija za Razvoj i Vlada Danske. U okviru ovog projekta urađen je monitoring i izvještaj o postignutim rezultatima javne uprave u oblastima transparentnosti, odgovornosti i inte</w:t>
      </w:r>
      <w:r>
        <w:rPr>
          <w:rFonts w:asciiTheme="majorHAnsi" w:eastAsia="Calibri" w:hAnsiTheme="majorHAnsi" w:cs="Times New Roman"/>
          <w:sz w:val="22"/>
          <w:szCs w:val="22"/>
          <w:lang w:val="bs-Latn-BA"/>
        </w:rPr>
        <w:t xml:space="preserve">griteta. </w:t>
      </w:r>
      <w:r w:rsidR="00582BC3" w:rsidRPr="00582BC3">
        <w:rPr>
          <w:rFonts w:asciiTheme="majorHAnsi" w:eastAsia="Calibri" w:hAnsiTheme="majorHAnsi" w:cs="Times New Roman"/>
          <w:sz w:val="22"/>
          <w:szCs w:val="22"/>
          <w:lang w:val="bs-Latn-BA"/>
        </w:rPr>
        <w:t>Monitoring ostvarenih rezultata u oblasti  transparentnosti, odgovornosti i integriteta u javnoj upravi za period 2014. -2015. godina obuhvata javne institucije državnog i entitetskih nivoa vlasti, i to ukupno njih 31. Uzorak je predvidio 15 institucija sa državnog, entitetskog nivoa vlasti i insitucije Brčko distrikta.</w:t>
      </w:r>
      <w:r w:rsidR="00582BC3" w:rsidRPr="0054107F">
        <w:rPr>
          <w:rFonts w:asciiTheme="majorHAnsi" w:eastAsia="Calibri" w:hAnsiTheme="majorHAnsi" w:cs="Times New Roman"/>
          <w:sz w:val="22"/>
          <w:szCs w:val="22"/>
          <w:vertAlign w:val="superscript"/>
          <w:lang w:val="bs-Latn-BA"/>
        </w:rPr>
        <w:footnoteReference w:id="1"/>
      </w:r>
      <w:r w:rsidR="00582BC3" w:rsidRPr="00582BC3">
        <w:rPr>
          <w:rFonts w:asciiTheme="majorHAnsi" w:eastAsia="Calibri" w:hAnsiTheme="majorHAnsi" w:cs="Times New Roman"/>
          <w:sz w:val="22"/>
          <w:szCs w:val="22"/>
          <w:lang w:val="bs-Latn-BA"/>
        </w:rPr>
        <w:t xml:space="preserve">  </w:t>
      </w:r>
    </w:p>
    <w:p w14:paraId="403AE281" w14:textId="77777777" w:rsidR="00582BC3" w:rsidRPr="00582BC3" w:rsidRDefault="00582BC3" w:rsidP="00582BC3">
      <w:pPr>
        <w:jc w:val="both"/>
        <w:rPr>
          <w:rFonts w:asciiTheme="majorHAnsi" w:eastAsia="Calibri" w:hAnsiTheme="majorHAnsi" w:cs="Times New Roman"/>
          <w:sz w:val="22"/>
          <w:szCs w:val="22"/>
          <w:u w:val="single"/>
          <w:lang w:val="bs-Latn-BA"/>
        </w:rPr>
      </w:pPr>
    </w:p>
    <w:p w14:paraId="2E104435" w14:textId="77777777" w:rsidR="00582BC3" w:rsidRPr="00582BC3" w:rsidRDefault="00582BC3" w:rsidP="00582BC3">
      <w:pPr>
        <w:jc w:val="both"/>
        <w:rPr>
          <w:rFonts w:asciiTheme="majorHAnsi" w:eastAsia="Calibri" w:hAnsiTheme="majorHAnsi" w:cs="Times New Roman"/>
          <w:sz w:val="22"/>
          <w:szCs w:val="22"/>
          <w:u w:val="single"/>
          <w:lang w:val="bs-Latn-BA"/>
        </w:rPr>
      </w:pPr>
      <w:r w:rsidRPr="00582BC3">
        <w:rPr>
          <w:rFonts w:asciiTheme="majorHAnsi" w:eastAsia="Calibri" w:hAnsiTheme="majorHAnsi" w:cs="Times New Roman"/>
          <w:sz w:val="22"/>
          <w:szCs w:val="22"/>
          <w:u w:val="single"/>
          <w:lang w:val="bs-Latn-BA"/>
        </w:rPr>
        <w:t xml:space="preserve">Institucije koje su  odbile učestvovati u monitoringu: </w:t>
      </w:r>
    </w:p>
    <w:p w14:paraId="41157AD3" w14:textId="77777777" w:rsidR="00582BC3" w:rsidRPr="00582BC3" w:rsidRDefault="00582BC3" w:rsidP="00582BC3">
      <w:pPr>
        <w:jc w:val="both"/>
        <w:rPr>
          <w:rFonts w:asciiTheme="majorHAnsi" w:eastAsia="Calibri" w:hAnsiTheme="majorHAnsi" w:cs="Times New Roman"/>
          <w:sz w:val="22"/>
          <w:szCs w:val="22"/>
          <w:lang w:val="bs-Latn-BA"/>
        </w:rPr>
      </w:pPr>
    </w:p>
    <w:p w14:paraId="7015B4C2" w14:textId="77777777" w:rsidR="00582BC3" w:rsidRPr="0054107F"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Od 15 institucija obuhvaćenih uzorkom 2 institucije sa državnog nivoa odbile su ispuniti svoju zakonsku obavezu da ustupe informacije od javnog značaja i tako doprinesu montoringu:</w:t>
      </w:r>
    </w:p>
    <w:p w14:paraId="70C24640" w14:textId="77777777" w:rsidR="00582BC3" w:rsidRPr="00582BC3" w:rsidRDefault="00582BC3" w:rsidP="00582BC3">
      <w:pPr>
        <w:jc w:val="both"/>
        <w:rPr>
          <w:rFonts w:asciiTheme="majorHAnsi" w:eastAsia="Calibri" w:hAnsiTheme="majorHAnsi" w:cs="Times New Roman"/>
          <w:sz w:val="22"/>
          <w:szCs w:val="22"/>
          <w:lang w:val="bs-Latn-BA"/>
        </w:rPr>
      </w:pPr>
    </w:p>
    <w:p w14:paraId="0BC47AF4" w14:textId="4F7171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Min</w:t>
      </w:r>
      <w:r w:rsidRPr="0054107F">
        <w:rPr>
          <w:rFonts w:asciiTheme="majorHAnsi" w:eastAsia="Calibri" w:hAnsiTheme="majorHAnsi" w:cs="Times New Roman"/>
          <w:sz w:val="22"/>
          <w:szCs w:val="22"/>
          <w:lang w:val="bs-Latn-BA"/>
        </w:rPr>
        <w:t>istarstvo vanjskih poslova BiH</w:t>
      </w:r>
      <w:r w:rsidR="0078475C">
        <w:rPr>
          <w:rFonts w:asciiTheme="majorHAnsi" w:eastAsia="Calibri" w:hAnsiTheme="majorHAnsi" w:cs="Times New Roman"/>
          <w:sz w:val="22"/>
          <w:szCs w:val="22"/>
          <w:lang w:val="bs-Latn-BA"/>
        </w:rPr>
        <w:t>,</w:t>
      </w:r>
      <w:r w:rsidRPr="0054107F">
        <w:rPr>
          <w:rFonts w:asciiTheme="majorHAnsi" w:eastAsia="Calibri" w:hAnsiTheme="majorHAnsi" w:cs="Times New Roman"/>
          <w:sz w:val="22"/>
          <w:szCs w:val="22"/>
          <w:lang w:val="bs-Latn-BA"/>
        </w:rPr>
        <w:t xml:space="preserve"> </w:t>
      </w:r>
    </w:p>
    <w:p w14:paraId="7EB2A546" w14:textId="4E1ABA32" w:rsidR="00582BC3" w:rsidRPr="0054107F"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Ministarstvo pravde Bi</w:t>
      </w:r>
      <w:r w:rsidRPr="0054107F">
        <w:rPr>
          <w:rFonts w:asciiTheme="majorHAnsi" w:eastAsia="Calibri" w:hAnsiTheme="majorHAnsi" w:cs="Times New Roman"/>
          <w:sz w:val="22"/>
          <w:szCs w:val="22"/>
          <w:lang w:val="bs-Latn-BA"/>
        </w:rPr>
        <w:t>H</w:t>
      </w:r>
      <w:r w:rsidR="0078475C">
        <w:rPr>
          <w:rFonts w:asciiTheme="majorHAnsi" w:eastAsia="Calibri" w:hAnsiTheme="majorHAnsi" w:cs="Times New Roman"/>
          <w:sz w:val="22"/>
          <w:szCs w:val="22"/>
          <w:lang w:val="bs-Latn-BA"/>
        </w:rPr>
        <w:t xml:space="preserve"> i</w:t>
      </w:r>
    </w:p>
    <w:p w14:paraId="2445713A" w14:textId="7265F371" w:rsidR="00582BC3" w:rsidRPr="0054107F"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4107F">
        <w:rPr>
          <w:rFonts w:asciiTheme="majorHAnsi" w:eastAsia="Calibri" w:hAnsiTheme="majorHAnsi" w:cs="Times New Roman"/>
          <w:sz w:val="22"/>
          <w:szCs w:val="22"/>
          <w:lang w:val="bs-Latn-BA"/>
        </w:rPr>
        <w:t>Ministarstvo finansija i trezora BiH</w:t>
      </w:r>
      <w:r w:rsidR="0078475C">
        <w:rPr>
          <w:rFonts w:asciiTheme="majorHAnsi" w:eastAsia="Calibri" w:hAnsiTheme="majorHAnsi" w:cs="Times New Roman"/>
          <w:sz w:val="22"/>
          <w:szCs w:val="22"/>
          <w:lang w:val="bs-Latn-BA"/>
        </w:rPr>
        <w:t>.</w:t>
      </w:r>
    </w:p>
    <w:p w14:paraId="1E33C543" w14:textId="77777777" w:rsidR="00582BC3" w:rsidRPr="00582BC3" w:rsidRDefault="00582BC3" w:rsidP="00582BC3">
      <w:pPr>
        <w:jc w:val="both"/>
        <w:rPr>
          <w:rFonts w:asciiTheme="majorHAnsi" w:eastAsia="Calibri" w:hAnsiTheme="majorHAnsi" w:cs="Times New Roman"/>
          <w:sz w:val="22"/>
          <w:szCs w:val="22"/>
          <w:lang w:val="bs-Latn-BA"/>
        </w:rPr>
      </w:pPr>
    </w:p>
    <w:p w14:paraId="4323588E" w14:textId="77777777" w:rsidR="00582BC3" w:rsidRPr="0054107F"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Od 15 institucija obuhvaćenih uzorkom, 6 institucija sa federalnog nivoa odbilo je da ispuni svoju zakonsku obavezu ustupanja informacija:</w:t>
      </w:r>
    </w:p>
    <w:p w14:paraId="4888E8B5" w14:textId="77777777" w:rsidR="00582BC3" w:rsidRPr="00582BC3" w:rsidRDefault="00582BC3" w:rsidP="00582BC3">
      <w:pPr>
        <w:jc w:val="both"/>
        <w:rPr>
          <w:rFonts w:asciiTheme="majorHAnsi" w:eastAsia="Calibri" w:hAnsiTheme="majorHAnsi" w:cs="Times New Roman"/>
          <w:sz w:val="22"/>
          <w:szCs w:val="22"/>
          <w:lang w:val="bs-Latn-BA"/>
        </w:rPr>
      </w:pPr>
    </w:p>
    <w:p w14:paraId="3E0928C9"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Federalno ministarstvo finansija,</w:t>
      </w:r>
    </w:p>
    <w:p w14:paraId="006E81C3"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Federalno ministarstvo obrazovanja,  </w:t>
      </w:r>
    </w:p>
    <w:p w14:paraId="2A74C80B"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Federalno ministarstvo raseljenih osoba i izbjeglica, </w:t>
      </w:r>
    </w:p>
    <w:p w14:paraId="5D2B1C4C"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Federalno ministarstvo zdravstva,</w:t>
      </w:r>
    </w:p>
    <w:p w14:paraId="59E96DD5"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Agencija za bankarstvo FBiH i </w:t>
      </w:r>
    </w:p>
    <w:p w14:paraId="6B275AD8"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Agencija za privatizaciju u FBiH.</w:t>
      </w:r>
    </w:p>
    <w:p w14:paraId="5FD501D5" w14:textId="77777777" w:rsidR="00582BC3" w:rsidRPr="00582BC3" w:rsidRDefault="00582BC3" w:rsidP="00582BC3">
      <w:pPr>
        <w:jc w:val="both"/>
        <w:rPr>
          <w:rFonts w:asciiTheme="majorHAnsi" w:eastAsia="Calibri" w:hAnsiTheme="majorHAnsi" w:cs="Times New Roman"/>
          <w:sz w:val="22"/>
          <w:szCs w:val="22"/>
          <w:lang w:val="bs-Latn-BA"/>
        </w:rPr>
      </w:pPr>
    </w:p>
    <w:p w14:paraId="09B441D7" w14:textId="51D776CB" w:rsidR="00582BC3" w:rsidRPr="0054107F"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Od 15 i</w:t>
      </w:r>
      <w:r w:rsidR="008C321A" w:rsidRPr="0054107F">
        <w:rPr>
          <w:rFonts w:asciiTheme="majorHAnsi" w:eastAsia="Calibri" w:hAnsiTheme="majorHAnsi" w:cs="Times New Roman"/>
          <w:sz w:val="22"/>
          <w:szCs w:val="22"/>
          <w:lang w:val="bs-Latn-BA"/>
        </w:rPr>
        <w:t>nstitucija obuhvaćenih uzorkom 3</w:t>
      </w:r>
      <w:r w:rsidRPr="00582BC3">
        <w:rPr>
          <w:rFonts w:asciiTheme="majorHAnsi" w:eastAsia="Calibri" w:hAnsiTheme="majorHAnsi" w:cs="Times New Roman"/>
          <w:sz w:val="22"/>
          <w:szCs w:val="22"/>
          <w:lang w:val="bs-Latn-BA"/>
        </w:rPr>
        <w:t xml:space="preserve"> institucije sa nivoa Republike Srpske odbile su učestvovati u Monitoringu:</w:t>
      </w:r>
    </w:p>
    <w:p w14:paraId="47543C33" w14:textId="77777777" w:rsidR="00582BC3" w:rsidRPr="00582BC3" w:rsidRDefault="00582BC3" w:rsidP="00582BC3">
      <w:pPr>
        <w:jc w:val="both"/>
        <w:rPr>
          <w:rFonts w:asciiTheme="majorHAnsi" w:eastAsia="Calibri" w:hAnsiTheme="majorHAnsi" w:cs="Times New Roman"/>
          <w:sz w:val="22"/>
          <w:szCs w:val="22"/>
          <w:lang w:val="bs-Latn-BA"/>
        </w:rPr>
      </w:pPr>
    </w:p>
    <w:p w14:paraId="634E9970" w14:textId="0434B8AB"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Ministarstvo poljoprivred</w:t>
      </w:r>
      <w:r w:rsidR="0078475C">
        <w:rPr>
          <w:rFonts w:asciiTheme="majorHAnsi" w:eastAsia="Calibri" w:hAnsiTheme="majorHAnsi" w:cs="Times New Roman"/>
          <w:sz w:val="22"/>
          <w:szCs w:val="22"/>
          <w:lang w:val="bs-Latn-BA"/>
        </w:rPr>
        <w:t>e, šumarstva i vodoprivrede RS,</w:t>
      </w:r>
    </w:p>
    <w:p w14:paraId="596150B4" w14:textId="3A96ADBF" w:rsidR="00582BC3" w:rsidRPr="0054107F"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Ministarstvo porodice, omladine i sporta</w:t>
      </w:r>
      <w:r w:rsidR="00FC6D50">
        <w:rPr>
          <w:rFonts w:asciiTheme="majorHAnsi" w:eastAsia="Calibri" w:hAnsiTheme="majorHAnsi" w:cs="Times New Roman"/>
          <w:sz w:val="22"/>
          <w:szCs w:val="22"/>
          <w:lang w:val="bs-Latn-BA"/>
        </w:rPr>
        <w:t xml:space="preserve"> RS</w:t>
      </w:r>
      <w:bookmarkStart w:id="0" w:name="_GoBack"/>
      <w:bookmarkEnd w:id="0"/>
      <w:r w:rsidR="0078475C">
        <w:rPr>
          <w:rFonts w:asciiTheme="majorHAnsi" w:eastAsia="Calibri" w:hAnsiTheme="majorHAnsi" w:cs="Times New Roman"/>
          <w:sz w:val="22"/>
          <w:szCs w:val="22"/>
          <w:lang w:val="bs-Latn-BA"/>
        </w:rPr>
        <w:t xml:space="preserve"> i</w:t>
      </w:r>
    </w:p>
    <w:p w14:paraId="51F52EC0" w14:textId="288D4A8B" w:rsidR="008C321A" w:rsidRPr="00582BC3" w:rsidRDefault="008C321A" w:rsidP="0078475C">
      <w:pPr>
        <w:numPr>
          <w:ilvl w:val="0"/>
          <w:numId w:val="20"/>
        </w:numPr>
        <w:ind w:left="567" w:hanging="425"/>
        <w:jc w:val="both"/>
        <w:rPr>
          <w:rFonts w:asciiTheme="majorHAnsi" w:eastAsia="Calibri" w:hAnsiTheme="majorHAnsi" w:cs="Times New Roman"/>
          <w:sz w:val="22"/>
          <w:szCs w:val="22"/>
          <w:lang w:val="bs-Latn-BA"/>
        </w:rPr>
      </w:pPr>
      <w:r w:rsidRPr="0054107F">
        <w:rPr>
          <w:rFonts w:asciiTheme="majorHAnsi" w:eastAsia="Calibri" w:hAnsiTheme="majorHAnsi" w:cs="Times New Roman"/>
          <w:sz w:val="22"/>
          <w:szCs w:val="22"/>
          <w:lang w:val="bs-Latn-BA"/>
        </w:rPr>
        <w:t>Ministarstvo finansija RS</w:t>
      </w:r>
      <w:r w:rsidR="0078475C">
        <w:rPr>
          <w:rFonts w:asciiTheme="majorHAnsi" w:eastAsia="Calibri" w:hAnsiTheme="majorHAnsi" w:cs="Times New Roman"/>
          <w:sz w:val="22"/>
          <w:szCs w:val="22"/>
          <w:lang w:val="bs-Latn-BA"/>
        </w:rPr>
        <w:t>.</w:t>
      </w:r>
      <w:r w:rsidRPr="0054107F">
        <w:rPr>
          <w:rFonts w:asciiTheme="majorHAnsi" w:eastAsia="Calibri" w:hAnsiTheme="majorHAnsi" w:cs="Times New Roman"/>
          <w:sz w:val="22"/>
          <w:szCs w:val="22"/>
          <w:lang w:val="bs-Latn-BA"/>
        </w:rPr>
        <w:t xml:space="preserve"> </w:t>
      </w:r>
    </w:p>
    <w:p w14:paraId="0561DC44" w14:textId="77777777" w:rsidR="00582BC3" w:rsidRPr="00582BC3" w:rsidRDefault="00582BC3" w:rsidP="00582BC3">
      <w:pPr>
        <w:jc w:val="both"/>
        <w:rPr>
          <w:rFonts w:asciiTheme="majorHAnsi" w:eastAsia="Calibri" w:hAnsiTheme="majorHAnsi" w:cs="Times New Roman"/>
          <w:sz w:val="22"/>
          <w:szCs w:val="22"/>
          <w:lang w:val="bs-Latn-BA"/>
        </w:rPr>
      </w:pPr>
    </w:p>
    <w:p w14:paraId="164BCC23" w14:textId="2278C103"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lastRenderedPageBreak/>
        <w:t>Insti</w:t>
      </w:r>
      <w:r w:rsidR="0078475C">
        <w:rPr>
          <w:rFonts w:asciiTheme="majorHAnsi" w:eastAsia="Calibri" w:hAnsiTheme="majorHAnsi" w:cs="Times New Roman"/>
          <w:sz w:val="22"/>
          <w:szCs w:val="22"/>
          <w:lang w:val="bs-Latn-BA"/>
        </w:rPr>
        <w:t xml:space="preserve">tucije sa nivoa Brčko distrkita, </w:t>
      </w:r>
      <w:r w:rsidRPr="00582BC3">
        <w:rPr>
          <w:rFonts w:asciiTheme="majorHAnsi" w:eastAsia="Calibri" w:hAnsiTheme="majorHAnsi" w:cs="Times New Roman"/>
          <w:sz w:val="22"/>
          <w:szCs w:val="22"/>
          <w:lang w:val="bs-Latn-BA"/>
        </w:rPr>
        <w:t>takođe</w:t>
      </w:r>
      <w:r w:rsidR="0078475C">
        <w:rPr>
          <w:rFonts w:asciiTheme="majorHAnsi" w:eastAsia="Calibri" w:hAnsiTheme="majorHAnsi" w:cs="Times New Roman"/>
          <w:sz w:val="22"/>
          <w:szCs w:val="22"/>
          <w:lang w:val="bs-Latn-BA"/>
        </w:rPr>
        <w:t>r,</w:t>
      </w:r>
      <w:r w:rsidRPr="00582BC3">
        <w:rPr>
          <w:rFonts w:asciiTheme="majorHAnsi" w:eastAsia="Calibri" w:hAnsiTheme="majorHAnsi" w:cs="Times New Roman"/>
          <w:sz w:val="22"/>
          <w:szCs w:val="22"/>
          <w:lang w:val="bs-Latn-BA"/>
        </w:rPr>
        <w:t xml:space="preserve"> nisu dostavile podatke, i to: Odjeljenje za stručne i administrativne poslove, Pododjeljenje za ljudske resurse, Kancelarija Gradonačelnika, Direkcija za finansije i Odjel za javni registar.</w:t>
      </w:r>
    </w:p>
    <w:p w14:paraId="74E30D5D" w14:textId="77777777" w:rsidR="00582BC3" w:rsidRPr="00582BC3" w:rsidRDefault="00582BC3" w:rsidP="00582BC3">
      <w:pPr>
        <w:jc w:val="both"/>
        <w:rPr>
          <w:rFonts w:asciiTheme="majorHAnsi" w:eastAsia="Calibri" w:hAnsiTheme="majorHAnsi" w:cs="Times New Roman"/>
          <w:sz w:val="22"/>
          <w:szCs w:val="22"/>
          <w:lang w:val="bs-Latn-BA"/>
        </w:rPr>
      </w:pPr>
    </w:p>
    <w:p w14:paraId="4584A0E5" w14:textId="18A345CF"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Ovaj podatak pokazuje kako su gore pobrojane institucije u početnoj fazi reformskog procesa, te stoga odbijaju učestvovati u monitoringu koji prati ostvarene rezultate, ali i kako u ovim institucijama ne postoji razvijena svijest o potrebi da se široj javnosti sveobuhvatno prezentuju rezultati njihovog rada</w:t>
      </w:r>
      <w:r w:rsidR="0078475C">
        <w:rPr>
          <w:rFonts w:asciiTheme="majorHAnsi" w:eastAsia="Calibri" w:hAnsiTheme="majorHAnsi" w:cs="Times New Roman"/>
          <w:sz w:val="22"/>
          <w:szCs w:val="22"/>
          <w:lang w:val="bs-Latn-BA"/>
        </w:rPr>
        <w:t>.</w:t>
      </w:r>
      <w:r w:rsidRPr="00582BC3">
        <w:rPr>
          <w:rFonts w:asciiTheme="majorHAnsi" w:eastAsia="Calibri" w:hAnsiTheme="majorHAnsi" w:cs="Times New Roman"/>
          <w:sz w:val="22"/>
          <w:szCs w:val="22"/>
          <w:lang w:val="bs-Latn-BA"/>
        </w:rPr>
        <w:t xml:space="preserve"> </w:t>
      </w:r>
    </w:p>
    <w:p w14:paraId="0C1D51A1" w14:textId="77777777" w:rsidR="00582BC3" w:rsidRPr="00582BC3" w:rsidRDefault="00582BC3" w:rsidP="00582BC3">
      <w:pPr>
        <w:jc w:val="both"/>
        <w:rPr>
          <w:rFonts w:asciiTheme="majorHAnsi" w:eastAsia="Calibri" w:hAnsiTheme="majorHAnsi" w:cs="Times New Roman"/>
          <w:sz w:val="22"/>
          <w:szCs w:val="22"/>
          <w:lang w:val="bs-Latn-BA"/>
        </w:rPr>
      </w:pPr>
    </w:p>
    <w:p w14:paraId="5BD13832" w14:textId="5EE1A603" w:rsidR="00582BC3" w:rsidRPr="0054107F"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Institucije koje su dostavile podatke, ali van ostavljenog roka:</w:t>
      </w:r>
    </w:p>
    <w:p w14:paraId="371BC15F" w14:textId="77777777" w:rsidR="00582BC3" w:rsidRPr="00582BC3" w:rsidRDefault="00582BC3" w:rsidP="00582BC3">
      <w:pPr>
        <w:jc w:val="both"/>
        <w:rPr>
          <w:rFonts w:asciiTheme="majorHAnsi" w:eastAsia="Calibri" w:hAnsiTheme="majorHAnsi" w:cs="Times New Roman"/>
          <w:sz w:val="22"/>
          <w:szCs w:val="22"/>
          <w:lang w:val="bs-Latn-BA"/>
        </w:rPr>
      </w:pPr>
    </w:p>
    <w:p w14:paraId="0465C48A" w14:textId="7D22C8BB" w:rsidR="00582BC3" w:rsidRPr="00582BC3" w:rsidRDefault="00FE760E" w:rsidP="0078475C">
      <w:pPr>
        <w:numPr>
          <w:ilvl w:val="0"/>
          <w:numId w:val="20"/>
        </w:numPr>
        <w:ind w:left="567" w:hanging="425"/>
        <w:jc w:val="both"/>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t>Ministarstvo odbrane BiH i</w:t>
      </w:r>
    </w:p>
    <w:p w14:paraId="022B4B2F" w14:textId="77777777" w:rsidR="00582BC3" w:rsidRPr="00582BC3" w:rsidRDefault="00582BC3" w:rsidP="0078475C">
      <w:pPr>
        <w:numPr>
          <w:ilvl w:val="0"/>
          <w:numId w:val="20"/>
        </w:numPr>
        <w:ind w:left="567" w:hanging="425"/>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Ministarstvo za izbjegla i raseljena lica RS.</w:t>
      </w:r>
    </w:p>
    <w:p w14:paraId="51EFE99E" w14:textId="77777777" w:rsidR="00582BC3" w:rsidRPr="00582BC3" w:rsidRDefault="00582BC3" w:rsidP="00582BC3">
      <w:pPr>
        <w:jc w:val="both"/>
        <w:rPr>
          <w:rFonts w:asciiTheme="majorHAnsi" w:eastAsia="Calibri" w:hAnsiTheme="majorHAnsi" w:cs="Times New Roman"/>
          <w:sz w:val="22"/>
          <w:szCs w:val="22"/>
          <w:lang w:val="bs-Latn-BA"/>
        </w:rPr>
      </w:pPr>
    </w:p>
    <w:p w14:paraId="7BE23E4B" w14:textId="77777777"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Podaci su prikupljani putem upitnika i/ili intervjua sa predstavnicima odabranih institucija, u obradi podataka korišteni su dostupni izvještaji institucija, revizorski izvještaji i odnosni pravni propisi koji regulišu oblasti koje su predmet monitoringa. </w:t>
      </w:r>
    </w:p>
    <w:p w14:paraId="317CC9AB" w14:textId="77777777" w:rsidR="00582BC3" w:rsidRPr="00582BC3" w:rsidRDefault="00582BC3" w:rsidP="00582BC3">
      <w:pPr>
        <w:jc w:val="both"/>
        <w:rPr>
          <w:rFonts w:asciiTheme="majorHAnsi" w:eastAsia="Calibri" w:hAnsiTheme="majorHAnsi" w:cs="Times New Roman"/>
          <w:sz w:val="22"/>
          <w:szCs w:val="22"/>
          <w:lang w:val="bs-Latn-BA"/>
        </w:rPr>
      </w:pPr>
    </w:p>
    <w:p w14:paraId="1B5179DE" w14:textId="4B31ED49"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Kako bi se utvrdilo u kojoj mjeri institucije javne administracije primjenjuju standarde transparentosti, odgovornosti i integriteta identifikovani su indikatori na osnovu kojih je moguće mjeriti zastupljenost i primjenu navedenih standarda. Indikatori transparent</w:t>
      </w:r>
      <w:r w:rsidR="00FE760E">
        <w:rPr>
          <w:rFonts w:asciiTheme="majorHAnsi" w:eastAsia="Calibri" w:hAnsiTheme="majorHAnsi" w:cs="Times New Roman"/>
          <w:sz w:val="22"/>
          <w:szCs w:val="22"/>
          <w:lang w:val="bs-Latn-BA"/>
        </w:rPr>
        <w:t>no</w:t>
      </w:r>
      <w:r w:rsidRPr="00582BC3">
        <w:rPr>
          <w:rFonts w:asciiTheme="majorHAnsi" w:eastAsia="Calibri" w:hAnsiTheme="majorHAnsi" w:cs="Times New Roman"/>
          <w:sz w:val="22"/>
          <w:szCs w:val="22"/>
          <w:lang w:val="bs-Latn-BA"/>
        </w:rPr>
        <w:t xml:space="preserve">sti mjere postojanje prakse pripreme i objavljivanja odgovarajućih dokumenata (izvještaja, planova i sl.), ključnih za rad institucije, te otvorenost institucije prema građanima u smislu proaktivne i reaktivne transparentosti. Indikatori odgovornosti pokazuju u kojoj mjeri linije i mehanizmi odgovornosti unutar institucije funkcionišu. Isto tako ovi indikatori pokazuju u kojoj mjeri </w:t>
      </w:r>
      <w:r w:rsidR="00F55446">
        <w:rPr>
          <w:rFonts w:asciiTheme="majorHAnsi" w:eastAsia="Calibri" w:hAnsiTheme="majorHAnsi" w:cs="Times New Roman"/>
          <w:sz w:val="22"/>
          <w:szCs w:val="22"/>
          <w:lang w:val="bs-Latn-BA"/>
        </w:rPr>
        <w:t xml:space="preserve">je institucija </w:t>
      </w:r>
      <w:r w:rsidRPr="00582BC3">
        <w:rPr>
          <w:rFonts w:asciiTheme="majorHAnsi" w:eastAsia="Calibri" w:hAnsiTheme="majorHAnsi" w:cs="Times New Roman"/>
          <w:sz w:val="22"/>
          <w:szCs w:val="22"/>
          <w:lang w:val="bs-Latn-BA"/>
        </w:rPr>
        <w:t>odgovorna prema drugim institucijama kojima</w:t>
      </w:r>
      <w:r w:rsidR="00F55446">
        <w:rPr>
          <w:rFonts w:asciiTheme="majorHAnsi" w:eastAsia="Calibri" w:hAnsiTheme="majorHAnsi" w:cs="Times New Roman"/>
          <w:sz w:val="22"/>
          <w:szCs w:val="22"/>
          <w:lang w:val="bs-Latn-BA"/>
        </w:rPr>
        <w:t xml:space="preserve"> je prema zakonu </w:t>
      </w:r>
      <w:r w:rsidRPr="00582BC3">
        <w:rPr>
          <w:rFonts w:asciiTheme="majorHAnsi" w:eastAsia="Calibri" w:hAnsiTheme="majorHAnsi" w:cs="Times New Roman"/>
          <w:sz w:val="22"/>
          <w:szCs w:val="22"/>
          <w:lang w:val="bs-Latn-BA"/>
        </w:rPr>
        <w:t xml:space="preserve">dužna podnositi izvještaje, kao i </w:t>
      </w:r>
      <w:r w:rsidR="00F55446">
        <w:rPr>
          <w:rFonts w:asciiTheme="majorHAnsi" w:eastAsia="Calibri" w:hAnsiTheme="majorHAnsi" w:cs="Times New Roman"/>
          <w:sz w:val="22"/>
          <w:szCs w:val="22"/>
          <w:lang w:val="bs-Latn-BA"/>
        </w:rPr>
        <w:t xml:space="preserve"> u kojoj mjeri je odgovorna prema </w:t>
      </w:r>
      <w:r w:rsidRPr="00582BC3">
        <w:rPr>
          <w:rFonts w:asciiTheme="majorHAnsi" w:eastAsia="Calibri" w:hAnsiTheme="majorHAnsi" w:cs="Times New Roman"/>
          <w:sz w:val="22"/>
          <w:szCs w:val="22"/>
          <w:lang w:val="bs-Latn-BA"/>
        </w:rPr>
        <w:t>javnosti. Indikatori int</w:t>
      </w:r>
      <w:r w:rsidR="00F55446">
        <w:rPr>
          <w:rFonts w:asciiTheme="majorHAnsi" w:eastAsia="Calibri" w:hAnsiTheme="majorHAnsi" w:cs="Times New Roman"/>
          <w:sz w:val="22"/>
          <w:szCs w:val="22"/>
          <w:lang w:val="bs-Latn-BA"/>
        </w:rPr>
        <w:t xml:space="preserve">egriteta pokazuju u da li </w:t>
      </w:r>
      <w:r w:rsidRPr="00582BC3">
        <w:rPr>
          <w:rFonts w:asciiTheme="majorHAnsi" w:eastAsia="Calibri" w:hAnsiTheme="majorHAnsi" w:cs="Times New Roman"/>
          <w:sz w:val="22"/>
          <w:szCs w:val="22"/>
          <w:lang w:val="bs-Latn-BA"/>
        </w:rPr>
        <w:t xml:space="preserve">institucija prepoznaje interne </w:t>
      </w:r>
      <w:r w:rsidR="00B24081">
        <w:rPr>
          <w:rFonts w:asciiTheme="majorHAnsi" w:eastAsia="Calibri" w:hAnsiTheme="majorHAnsi" w:cs="Times New Roman"/>
          <w:sz w:val="22"/>
          <w:szCs w:val="22"/>
          <w:lang w:val="bs-Latn-BA"/>
        </w:rPr>
        <w:t>i eksterne</w:t>
      </w:r>
      <w:r w:rsidR="00B24081" w:rsidRPr="00582BC3">
        <w:rPr>
          <w:rFonts w:asciiTheme="majorHAnsi" w:eastAsia="Calibri" w:hAnsiTheme="majorHAnsi" w:cs="Times New Roman"/>
          <w:sz w:val="22"/>
          <w:szCs w:val="22"/>
          <w:lang w:val="bs-Latn-BA"/>
        </w:rPr>
        <w:t xml:space="preserve"> </w:t>
      </w:r>
      <w:r w:rsidRPr="00582BC3">
        <w:rPr>
          <w:rFonts w:asciiTheme="majorHAnsi" w:eastAsia="Calibri" w:hAnsiTheme="majorHAnsi" w:cs="Times New Roman"/>
          <w:sz w:val="22"/>
          <w:szCs w:val="22"/>
          <w:lang w:val="bs-Latn-BA"/>
        </w:rPr>
        <w:t xml:space="preserve">rizike od pojave nepravilnosti i u kojoj mjeri proaktivno djeluje na njihovom otklanjanju. </w:t>
      </w:r>
    </w:p>
    <w:p w14:paraId="1FBCFDD6" w14:textId="77777777" w:rsidR="00582BC3" w:rsidRPr="00582BC3" w:rsidRDefault="00582BC3" w:rsidP="00582BC3">
      <w:pPr>
        <w:jc w:val="both"/>
        <w:rPr>
          <w:rFonts w:asciiTheme="majorHAnsi" w:eastAsia="Calibri" w:hAnsiTheme="majorHAnsi" w:cs="Times New Roman"/>
          <w:b/>
          <w:sz w:val="22"/>
          <w:szCs w:val="22"/>
          <w:lang w:val="bs-Latn-BA"/>
        </w:rPr>
      </w:pPr>
    </w:p>
    <w:p w14:paraId="71BB9827" w14:textId="77777777" w:rsidR="0054107F" w:rsidRDefault="0054107F" w:rsidP="00582BC3">
      <w:pPr>
        <w:jc w:val="both"/>
        <w:rPr>
          <w:rFonts w:asciiTheme="majorHAnsi" w:eastAsia="Calibri" w:hAnsiTheme="majorHAnsi" w:cs="Times New Roman"/>
          <w:b/>
          <w:lang w:val="bs-Latn-BA"/>
        </w:rPr>
      </w:pPr>
    </w:p>
    <w:p w14:paraId="3062B975" w14:textId="77777777" w:rsidR="00582BC3" w:rsidRPr="00582BC3" w:rsidRDefault="00582BC3" w:rsidP="00582BC3">
      <w:pPr>
        <w:jc w:val="both"/>
        <w:rPr>
          <w:rFonts w:asciiTheme="majorHAnsi" w:eastAsia="Calibri" w:hAnsiTheme="majorHAnsi" w:cs="Times New Roman"/>
          <w:b/>
          <w:lang w:val="bs-Latn-BA"/>
        </w:rPr>
      </w:pPr>
      <w:r w:rsidRPr="00582BC3">
        <w:rPr>
          <w:rFonts w:asciiTheme="majorHAnsi" w:eastAsia="Calibri" w:hAnsiTheme="majorHAnsi" w:cs="Times New Roman"/>
          <w:b/>
          <w:lang w:val="bs-Latn-BA"/>
        </w:rPr>
        <w:t xml:space="preserve">GENERALNI NALAZI </w:t>
      </w:r>
    </w:p>
    <w:p w14:paraId="5671989E" w14:textId="77777777" w:rsidR="00582BC3" w:rsidRPr="00582BC3" w:rsidRDefault="00582BC3" w:rsidP="00582BC3">
      <w:pPr>
        <w:jc w:val="both"/>
        <w:rPr>
          <w:rFonts w:asciiTheme="majorHAnsi" w:eastAsia="Calibri" w:hAnsiTheme="majorHAnsi" w:cs="Times New Roman"/>
          <w:sz w:val="22"/>
          <w:szCs w:val="22"/>
          <w:lang w:val="bs-Latn-BA"/>
        </w:rPr>
      </w:pPr>
    </w:p>
    <w:p w14:paraId="5EF8BA71" w14:textId="77777777"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Rezultati monitoringa pokazuju nezadovoljavajuće stanje u oblasti transparentnosti jer više od dvije trećine institucija ne objavljuju osnovne informacije usko vezane za njihov rad, kao što su budžetski podaci ili informacije o sistematizaciji radnih mjesta, tako da je i daljem dominantan pristup informacijama na osnovu zahtjeva.  </w:t>
      </w:r>
    </w:p>
    <w:p w14:paraId="0715611D" w14:textId="77777777" w:rsidR="00582BC3" w:rsidRPr="00582BC3" w:rsidRDefault="00582BC3" w:rsidP="00582BC3">
      <w:pPr>
        <w:jc w:val="both"/>
        <w:rPr>
          <w:rFonts w:asciiTheme="majorHAnsi" w:eastAsia="Calibri" w:hAnsiTheme="majorHAnsi" w:cs="Times New Roman"/>
          <w:sz w:val="22"/>
          <w:szCs w:val="22"/>
          <w:lang w:val="bs-Latn-BA"/>
        </w:rPr>
      </w:pPr>
    </w:p>
    <w:p w14:paraId="5A3B43C4" w14:textId="77777777" w:rsidR="00582BC3" w:rsidRP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Postoje stanovite razlike između nivoa vlasti, posebno između državnih i enitetskih institucija, pa se nameće zaključak da su državne institucije više učinile na proaktivnoj transparentnosti, uspostavljanju planova integriteta i jačanju institucionalnih kapaciteta. </w:t>
      </w:r>
    </w:p>
    <w:p w14:paraId="2EA392D1" w14:textId="77777777" w:rsidR="00582BC3" w:rsidRPr="00582BC3" w:rsidRDefault="00582BC3" w:rsidP="00582BC3">
      <w:pPr>
        <w:jc w:val="both"/>
        <w:rPr>
          <w:rFonts w:asciiTheme="majorHAnsi" w:eastAsia="Calibri" w:hAnsiTheme="majorHAnsi" w:cs="Times New Roman"/>
          <w:sz w:val="22"/>
          <w:szCs w:val="22"/>
          <w:lang w:val="bs-Latn-BA"/>
        </w:rPr>
      </w:pPr>
    </w:p>
    <w:p w14:paraId="544422E2" w14:textId="412B1104" w:rsidR="00582BC3" w:rsidRDefault="00582BC3" w:rsidP="00582BC3">
      <w:pPr>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Rezultati koji su isti na svim nivoima vlasti, a koji su kra</w:t>
      </w:r>
      <w:r w:rsidR="00C7034F">
        <w:rPr>
          <w:rFonts w:asciiTheme="majorHAnsi" w:eastAsia="Calibri" w:hAnsiTheme="majorHAnsi" w:cs="Times New Roman"/>
          <w:sz w:val="22"/>
          <w:szCs w:val="22"/>
          <w:lang w:val="bs-Latn-BA"/>
        </w:rPr>
        <w:t>j</w:t>
      </w:r>
      <w:r w:rsidRPr="00582BC3">
        <w:rPr>
          <w:rFonts w:asciiTheme="majorHAnsi" w:eastAsia="Calibri" w:hAnsiTheme="majorHAnsi" w:cs="Times New Roman"/>
          <w:sz w:val="22"/>
          <w:szCs w:val="22"/>
          <w:lang w:val="bs-Latn-BA"/>
        </w:rPr>
        <w:t xml:space="preserve">nje zabrinjavajući: </w:t>
      </w:r>
    </w:p>
    <w:p w14:paraId="20964D95" w14:textId="77777777" w:rsidR="00C7034F" w:rsidRPr="00582BC3" w:rsidRDefault="00C7034F" w:rsidP="00582BC3">
      <w:pPr>
        <w:jc w:val="both"/>
        <w:rPr>
          <w:rFonts w:asciiTheme="majorHAnsi" w:eastAsia="Calibri" w:hAnsiTheme="majorHAnsi" w:cs="Times New Roman"/>
          <w:sz w:val="22"/>
          <w:szCs w:val="22"/>
          <w:lang w:val="bs-Latn-BA"/>
        </w:rPr>
      </w:pPr>
    </w:p>
    <w:p w14:paraId="54FB1277" w14:textId="77777777"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preporuke iz revizorskih izvještaja se iz godine u godine ponavljaju; </w:t>
      </w:r>
    </w:p>
    <w:p w14:paraId="3F003B51" w14:textId="5840CF5B"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troškovi na s</w:t>
      </w:r>
      <w:r w:rsidR="00455AF3">
        <w:rPr>
          <w:rFonts w:asciiTheme="majorHAnsi" w:eastAsia="Calibri" w:hAnsiTheme="majorHAnsi" w:cs="Times New Roman"/>
          <w:sz w:val="22"/>
          <w:szCs w:val="22"/>
          <w:lang w:val="bs-Latn-BA"/>
        </w:rPr>
        <w:t>vim nivoma vlasti na ugovore</w:t>
      </w:r>
      <w:r w:rsidRPr="00582BC3">
        <w:rPr>
          <w:rFonts w:asciiTheme="majorHAnsi" w:eastAsia="Calibri" w:hAnsiTheme="majorHAnsi" w:cs="Times New Roman"/>
          <w:sz w:val="22"/>
          <w:szCs w:val="22"/>
          <w:lang w:val="bs-Latn-BA"/>
        </w:rPr>
        <w:t xml:space="preserve"> o djelu iznimno su visoki i utvrđeno je da ne postoji konzistentno planiranje usluga po ovom osnovu;</w:t>
      </w:r>
    </w:p>
    <w:p w14:paraId="06F07556" w14:textId="7FDDFC83"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planovi javnih nabavki se ne objavljuju u svim insti</w:t>
      </w:r>
      <w:r w:rsidR="00455AF3">
        <w:rPr>
          <w:rFonts w:asciiTheme="majorHAnsi" w:eastAsia="Calibri" w:hAnsiTheme="majorHAnsi" w:cs="Times New Roman"/>
          <w:sz w:val="22"/>
          <w:szCs w:val="22"/>
          <w:lang w:val="bs-Latn-BA"/>
        </w:rPr>
        <w:t>t</w:t>
      </w:r>
      <w:r w:rsidRPr="00582BC3">
        <w:rPr>
          <w:rFonts w:asciiTheme="majorHAnsi" w:eastAsia="Calibri" w:hAnsiTheme="majorHAnsi" w:cs="Times New Roman"/>
          <w:sz w:val="22"/>
          <w:szCs w:val="22"/>
          <w:lang w:val="bs-Latn-BA"/>
        </w:rPr>
        <w:t>ucijama, a preporuke iz revizorkih izvještaja se redovno odnose na nepravilnosti u postupcima javnih nabavki</w:t>
      </w:r>
      <w:r w:rsidR="00455AF3">
        <w:rPr>
          <w:rFonts w:asciiTheme="majorHAnsi" w:eastAsia="Calibri" w:hAnsiTheme="majorHAnsi" w:cs="Times New Roman"/>
          <w:sz w:val="22"/>
          <w:szCs w:val="22"/>
          <w:lang w:val="bs-Latn-BA"/>
        </w:rPr>
        <w:t>;</w:t>
      </w:r>
      <w:r w:rsidRPr="00582BC3">
        <w:rPr>
          <w:rFonts w:asciiTheme="majorHAnsi" w:eastAsia="Calibri" w:hAnsiTheme="majorHAnsi" w:cs="Times New Roman"/>
          <w:sz w:val="22"/>
          <w:szCs w:val="22"/>
          <w:lang w:val="bs-Latn-BA"/>
        </w:rPr>
        <w:t xml:space="preserve"> </w:t>
      </w:r>
    </w:p>
    <w:p w14:paraId="51D20EBA" w14:textId="50D0E4ED" w:rsidR="00582BC3" w:rsidRPr="00582BC3" w:rsidRDefault="00455AF3" w:rsidP="00582BC3">
      <w:pPr>
        <w:numPr>
          <w:ilvl w:val="0"/>
          <w:numId w:val="16"/>
        </w:numPr>
        <w:spacing w:after="200" w:line="276" w:lineRule="auto"/>
        <w:jc w:val="both"/>
        <w:rPr>
          <w:rFonts w:asciiTheme="majorHAnsi" w:eastAsia="Calibri" w:hAnsiTheme="majorHAnsi" w:cs="Times New Roman"/>
          <w:sz w:val="22"/>
          <w:szCs w:val="22"/>
          <w:lang w:val="bs-Latn-BA"/>
        </w:rPr>
      </w:pPr>
      <w:r>
        <w:rPr>
          <w:rFonts w:asciiTheme="majorHAnsi" w:eastAsia="Calibri" w:hAnsiTheme="majorHAnsi" w:cs="Times New Roman"/>
          <w:sz w:val="22"/>
          <w:szCs w:val="22"/>
          <w:lang w:val="bs-Latn-BA"/>
        </w:rPr>
        <w:lastRenderedPageBreak/>
        <w:t>z</w:t>
      </w:r>
      <w:r w:rsidR="00582BC3" w:rsidRPr="00582BC3">
        <w:rPr>
          <w:rFonts w:asciiTheme="majorHAnsi" w:eastAsia="Calibri" w:hAnsiTheme="majorHAnsi" w:cs="Times New Roman"/>
          <w:sz w:val="22"/>
          <w:szCs w:val="22"/>
          <w:lang w:val="bs-Latn-BA"/>
        </w:rPr>
        <w:t xml:space="preserve">abrinjavajući su i nalazi o nedostatku sistemskog, cjelovitog i dugoročnog kadrovskog planiranja; </w:t>
      </w:r>
    </w:p>
    <w:p w14:paraId="028BCF0A" w14:textId="106BDDBE"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 xml:space="preserve">utvrđen je veliki broju upražnjenih radnih mjesta koji dovode u pitanje postojeću kadrovsku politiku i oslanjanje na postojeće resurse; </w:t>
      </w:r>
    </w:p>
    <w:p w14:paraId="48926176" w14:textId="77777777"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nastavljena je i praksa voluntarističkog i neplaniranog zapošljavanja uprkos opredjeljenju iz Reformske agende o ograničavanju zapošljavanja u javnoj upravi;</w:t>
      </w:r>
    </w:p>
    <w:p w14:paraId="32B1D9DE" w14:textId="1AF4CE7A"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većina i</w:t>
      </w:r>
      <w:r w:rsidR="00455AF3">
        <w:rPr>
          <w:rFonts w:asciiTheme="majorHAnsi" w:eastAsia="Calibri" w:hAnsiTheme="majorHAnsi" w:cs="Times New Roman"/>
          <w:sz w:val="22"/>
          <w:szCs w:val="22"/>
          <w:lang w:val="bs-Latn-BA"/>
        </w:rPr>
        <w:t>nstitucija nije usvojila Planove</w:t>
      </w:r>
      <w:r w:rsidRPr="00582BC3">
        <w:rPr>
          <w:rFonts w:asciiTheme="majorHAnsi" w:eastAsia="Calibri" w:hAnsiTheme="majorHAnsi" w:cs="Times New Roman"/>
          <w:sz w:val="22"/>
          <w:szCs w:val="22"/>
          <w:lang w:val="bs-Latn-BA"/>
        </w:rPr>
        <w:t xml:space="preserve"> integriteta;</w:t>
      </w:r>
    </w:p>
    <w:p w14:paraId="6BFFD6A3" w14:textId="77777777" w:rsidR="00582BC3" w:rsidRPr="00582BC3" w:rsidRDefault="00582BC3" w:rsidP="00582BC3">
      <w:pPr>
        <w:numPr>
          <w:ilvl w:val="0"/>
          <w:numId w:val="16"/>
        </w:numPr>
        <w:spacing w:after="200" w:line="276" w:lineRule="auto"/>
        <w:jc w:val="both"/>
        <w:rPr>
          <w:rFonts w:asciiTheme="majorHAnsi" w:eastAsia="Calibri" w:hAnsiTheme="majorHAnsi" w:cs="Times New Roman"/>
          <w:sz w:val="22"/>
          <w:szCs w:val="22"/>
          <w:lang w:val="bs-Latn-BA"/>
        </w:rPr>
      </w:pPr>
      <w:r w:rsidRPr="00582BC3">
        <w:rPr>
          <w:rFonts w:asciiTheme="majorHAnsi" w:eastAsia="Calibri" w:hAnsiTheme="majorHAnsi" w:cs="Times New Roman"/>
          <w:sz w:val="22"/>
          <w:szCs w:val="22"/>
          <w:lang w:val="bs-Latn-BA"/>
        </w:rPr>
        <w:t>ne postoji praksa redovnog objavljivanja Godišnjih izvještaja o radu.</w:t>
      </w:r>
    </w:p>
    <w:p w14:paraId="4BBA2C1C" w14:textId="52408120" w:rsidR="005E61AE" w:rsidRPr="0054107F" w:rsidRDefault="005E61AE" w:rsidP="00754472">
      <w:pPr>
        <w:jc w:val="both"/>
        <w:rPr>
          <w:rFonts w:asciiTheme="majorHAnsi" w:hAnsiTheme="majorHAnsi"/>
          <w:sz w:val="22"/>
          <w:szCs w:val="22"/>
          <w:lang w:val="bs-Latn-BA"/>
        </w:rPr>
      </w:pPr>
      <w:r w:rsidRPr="0054107F">
        <w:rPr>
          <w:rFonts w:asciiTheme="majorHAnsi" w:hAnsiTheme="majorHAnsi"/>
          <w:sz w:val="22"/>
          <w:szCs w:val="22"/>
          <w:lang w:val="bs-Latn-BA"/>
        </w:rPr>
        <w:t>Ovaj podatak uka</w:t>
      </w:r>
      <w:r w:rsidR="005A1781">
        <w:rPr>
          <w:rFonts w:asciiTheme="majorHAnsi" w:hAnsiTheme="majorHAnsi"/>
          <w:sz w:val="22"/>
          <w:szCs w:val="22"/>
          <w:lang w:val="bs-Latn-BA"/>
        </w:rPr>
        <w:t>zuje da i pored više od decenije</w:t>
      </w:r>
      <w:r w:rsidRPr="0054107F">
        <w:rPr>
          <w:rFonts w:asciiTheme="majorHAnsi" w:hAnsiTheme="majorHAnsi"/>
          <w:sz w:val="22"/>
          <w:szCs w:val="22"/>
          <w:lang w:val="bs-Latn-BA"/>
        </w:rPr>
        <w:t xml:space="preserve"> intenzivnih napora na reformi javne uprave, i dalje </w:t>
      </w:r>
      <w:r w:rsidR="005A1781">
        <w:rPr>
          <w:rFonts w:asciiTheme="majorHAnsi" w:hAnsiTheme="majorHAnsi"/>
          <w:sz w:val="22"/>
          <w:szCs w:val="22"/>
          <w:lang w:val="bs-Latn-BA"/>
        </w:rPr>
        <w:t>postoje institucije koje sistem</w:t>
      </w:r>
      <w:r w:rsidRPr="0054107F">
        <w:rPr>
          <w:rFonts w:asciiTheme="majorHAnsi" w:hAnsiTheme="majorHAnsi"/>
          <w:sz w:val="22"/>
          <w:szCs w:val="22"/>
          <w:lang w:val="bs-Latn-BA"/>
        </w:rPr>
        <w:t>ski krše pozitvno pravne propise kojim se definišu elementarni standardi transparentosti, odgov</w:t>
      </w:r>
      <w:r w:rsidR="00624507" w:rsidRPr="0054107F">
        <w:rPr>
          <w:rFonts w:asciiTheme="majorHAnsi" w:hAnsiTheme="majorHAnsi"/>
          <w:sz w:val="22"/>
          <w:szCs w:val="22"/>
          <w:lang w:val="bs-Latn-BA"/>
        </w:rPr>
        <w:t>o</w:t>
      </w:r>
      <w:r w:rsidRPr="0054107F">
        <w:rPr>
          <w:rFonts w:asciiTheme="majorHAnsi" w:hAnsiTheme="majorHAnsi"/>
          <w:sz w:val="22"/>
          <w:szCs w:val="22"/>
          <w:lang w:val="bs-Latn-BA"/>
        </w:rPr>
        <w:t>rnosti i integriteta u radu javnih institucija.</w:t>
      </w:r>
    </w:p>
    <w:p w14:paraId="403B10B4" w14:textId="77777777" w:rsidR="005E61AE" w:rsidRDefault="005E61AE" w:rsidP="00754472">
      <w:pPr>
        <w:jc w:val="both"/>
        <w:rPr>
          <w:rFonts w:asciiTheme="majorHAnsi" w:hAnsiTheme="majorHAnsi"/>
          <w:i/>
          <w:lang w:val="bs-Latn-BA"/>
        </w:rPr>
      </w:pPr>
    </w:p>
    <w:p w14:paraId="1D005002" w14:textId="77777777" w:rsidR="003A21E9" w:rsidRPr="0054107F" w:rsidRDefault="003A21E9" w:rsidP="00754472">
      <w:pPr>
        <w:jc w:val="both"/>
        <w:rPr>
          <w:rFonts w:asciiTheme="majorHAnsi" w:hAnsiTheme="majorHAnsi"/>
          <w:i/>
          <w:lang w:val="bs-Latn-BA"/>
        </w:rPr>
      </w:pPr>
    </w:p>
    <w:p w14:paraId="34FC9DC3" w14:textId="296A6538" w:rsidR="005E61AE" w:rsidRPr="00000C42" w:rsidRDefault="00000C42" w:rsidP="00754472">
      <w:pPr>
        <w:jc w:val="both"/>
        <w:rPr>
          <w:rFonts w:asciiTheme="majorHAnsi" w:hAnsiTheme="majorHAnsi"/>
          <w:b/>
        </w:rPr>
      </w:pPr>
      <w:r w:rsidRPr="00000C42">
        <w:rPr>
          <w:rFonts w:asciiTheme="majorHAnsi" w:hAnsiTheme="majorHAnsi"/>
          <w:b/>
        </w:rPr>
        <w:t>INDIKATORI</w:t>
      </w:r>
    </w:p>
    <w:p w14:paraId="72A4132D" w14:textId="77777777" w:rsidR="005E61AE" w:rsidRPr="0054107F" w:rsidRDefault="005E61AE" w:rsidP="00754472">
      <w:pPr>
        <w:spacing w:line="276" w:lineRule="auto"/>
        <w:jc w:val="both"/>
        <w:rPr>
          <w:rFonts w:asciiTheme="majorHAnsi" w:hAnsiTheme="majorHAnsi"/>
          <w:b/>
          <w:sz w:val="22"/>
          <w:szCs w:val="22"/>
        </w:rPr>
      </w:pPr>
    </w:p>
    <w:p w14:paraId="1B80A4F4" w14:textId="77777777" w:rsidR="005E61AE" w:rsidRPr="0054107F" w:rsidRDefault="005E61AE" w:rsidP="00754472">
      <w:pPr>
        <w:spacing w:line="276" w:lineRule="auto"/>
        <w:jc w:val="both"/>
        <w:rPr>
          <w:rFonts w:asciiTheme="majorHAnsi" w:hAnsiTheme="majorHAnsi"/>
          <w:sz w:val="22"/>
          <w:szCs w:val="22"/>
        </w:rPr>
      </w:pPr>
      <w:r w:rsidRPr="0054107F">
        <w:rPr>
          <w:rFonts w:asciiTheme="majorHAnsi" w:hAnsiTheme="majorHAnsi"/>
          <w:sz w:val="22"/>
          <w:szCs w:val="22"/>
        </w:rPr>
        <w:t xml:space="preserve">Kako bi se utvrdilo u kojoj mjeri institucije javne administracije primjenjuju standarde transparentosti, odgovornosti i integriteta identifikovani su indikatori </w:t>
      </w:r>
      <w:proofErr w:type="gramStart"/>
      <w:r w:rsidRPr="0054107F">
        <w:rPr>
          <w:rFonts w:asciiTheme="majorHAnsi" w:hAnsiTheme="majorHAnsi"/>
          <w:sz w:val="22"/>
          <w:szCs w:val="22"/>
        </w:rPr>
        <w:t>na</w:t>
      </w:r>
      <w:proofErr w:type="gramEnd"/>
      <w:r w:rsidRPr="0054107F">
        <w:rPr>
          <w:rFonts w:asciiTheme="majorHAnsi" w:hAnsiTheme="majorHAnsi"/>
          <w:sz w:val="22"/>
          <w:szCs w:val="22"/>
        </w:rPr>
        <w:t xml:space="preserve"> osnovu kojih je moguće mjeriti zastupljenost i primjenu navedenih indikatora. Indikatori transparentstosti institucije mjere postojanje prakse pripreme i objavljivanja odgovarajućih dokumenata (izvještaja, planova i sl.), ključnih za rad institucije, </w:t>
      </w:r>
      <w:proofErr w:type="gramStart"/>
      <w:r w:rsidRPr="0054107F">
        <w:rPr>
          <w:rFonts w:asciiTheme="majorHAnsi" w:hAnsiTheme="majorHAnsi"/>
          <w:sz w:val="22"/>
          <w:szCs w:val="22"/>
        </w:rPr>
        <w:t>te</w:t>
      </w:r>
      <w:proofErr w:type="gramEnd"/>
      <w:r w:rsidRPr="0054107F">
        <w:rPr>
          <w:rFonts w:asciiTheme="majorHAnsi" w:hAnsiTheme="majorHAnsi"/>
          <w:sz w:val="22"/>
          <w:szCs w:val="22"/>
        </w:rPr>
        <w:t xml:space="preserve"> otvorenost institucije prema građanima u smislu proaktivne i reaktivne transparentosti. Ujedno odgovarajući stepen transparentosti, neophodna je pretpostavka postojanja principa odgovornosti. Indikatori odgovrnosti pokazuju u kojoj mjeri linije i mehanizmi odgovrnosti unutar institucije funkcionišu. Isto tako ovi indikatori pokazuju u kojoj mjeri institucija je odgovorna prema drugim institucijama kojima prema zakonu je dužna podnositi izvještaje, kao i javnosti. Indikatori integriteta pokazuju u kojoj mjeri institucija prepoznaje ekterne i interne rizike </w:t>
      </w:r>
      <w:proofErr w:type="gramStart"/>
      <w:r w:rsidRPr="0054107F">
        <w:rPr>
          <w:rFonts w:asciiTheme="majorHAnsi" w:hAnsiTheme="majorHAnsi"/>
          <w:sz w:val="22"/>
          <w:szCs w:val="22"/>
        </w:rPr>
        <w:t>od</w:t>
      </w:r>
      <w:proofErr w:type="gramEnd"/>
      <w:r w:rsidRPr="0054107F">
        <w:rPr>
          <w:rFonts w:asciiTheme="majorHAnsi" w:hAnsiTheme="majorHAnsi"/>
          <w:sz w:val="22"/>
          <w:szCs w:val="22"/>
        </w:rPr>
        <w:t xml:space="preserve"> pojave nepravilnosti i u kojoj mjeri proaktivno djeluje na njihovom otklanjanju.</w:t>
      </w:r>
    </w:p>
    <w:p w14:paraId="4421879F" w14:textId="77777777" w:rsidR="005E61AE" w:rsidRPr="0054107F" w:rsidRDefault="005E61AE" w:rsidP="00754472">
      <w:pPr>
        <w:jc w:val="both"/>
        <w:rPr>
          <w:rFonts w:asciiTheme="majorHAnsi" w:hAnsiTheme="majorHAnsi"/>
          <w:sz w:val="22"/>
          <w:szCs w:val="22"/>
        </w:rPr>
      </w:pPr>
    </w:p>
    <w:p w14:paraId="555CC710" w14:textId="77777777" w:rsidR="006221CC"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Disciplinska odgovornost</w:t>
      </w:r>
    </w:p>
    <w:p w14:paraId="634D84A8" w14:textId="77777777" w:rsidR="00C36F17" w:rsidRPr="0054107F" w:rsidRDefault="00C36F17" w:rsidP="00754472">
      <w:pPr>
        <w:jc w:val="both"/>
        <w:rPr>
          <w:rFonts w:asciiTheme="majorHAnsi" w:hAnsiTheme="majorHAnsi"/>
          <w:sz w:val="22"/>
          <w:szCs w:val="22"/>
        </w:rPr>
      </w:pPr>
    </w:p>
    <w:p w14:paraId="2FE704B0" w14:textId="0D89A7A7" w:rsidR="00615231" w:rsidRPr="0054107F" w:rsidRDefault="001608E7"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 xml:space="preserve">Na ukupnom uzorku </w:t>
      </w:r>
      <w:proofErr w:type="gramStart"/>
      <w:r w:rsidRPr="0054107F">
        <w:rPr>
          <w:rFonts w:asciiTheme="majorHAnsi" w:hAnsiTheme="majorHAnsi"/>
          <w:color w:val="000000" w:themeColor="text1"/>
          <w:sz w:val="22"/>
          <w:szCs w:val="22"/>
        </w:rPr>
        <w:t>od</w:t>
      </w:r>
      <w:proofErr w:type="gramEnd"/>
      <w:r w:rsidRPr="0054107F">
        <w:rPr>
          <w:rFonts w:asciiTheme="majorHAnsi" w:hAnsiTheme="majorHAnsi"/>
          <w:color w:val="000000" w:themeColor="text1"/>
          <w:sz w:val="22"/>
          <w:szCs w:val="22"/>
        </w:rPr>
        <w:t xml:space="preserve"> 12</w:t>
      </w:r>
      <w:r w:rsidR="00606171" w:rsidRPr="0054107F">
        <w:rPr>
          <w:rFonts w:asciiTheme="majorHAnsi" w:hAnsiTheme="majorHAnsi"/>
          <w:color w:val="000000" w:themeColor="text1"/>
          <w:sz w:val="22"/>
          <w:szCs w:val="22"/>
        </w:rPr>
        <w:t xml:space="preserve"> instit</w:t>
      </w:r>
      <w:r w:rsidR="00C03EFB" w:rsidRPr="0054107F">
        <w:rPr>
          <w:rFonts w:asciiTheme="majorHAnsi" w:hAnsiTheme="majorHAnsi"/>
          <w:color w:val="000000" w:themeColor="text1"/>
          <w:sz w:val="22"/>
          <w:szCs w:val="22"/>
        </w:rPr>
        <w:t>ucija na državnom nivou utvrđeno je da</w:t>
      </w:r>
      <w:r w:rsidR="007C399C" w:rsidRPr="0054107F">
        <w:rPr>
          <w:rFonts w:asciiTheme="majorHAnsi" w:hAnsiTheme="majorHAnsi"/>
          <w:color w:val="000000" w:themeColor="text1"/>
          <w:sz w:val="22"/>
          <w:szCs w:val="22"/>
        </w:rPr>
        <w:t xml:space="preserve"> je u referentnim godinama b</w:t>
      </w:r>
      <w:r w:rsidRPr="0054107F">
        <w:rPr>
          <w:rFonts w:asciiTheme="majorHAnsi" w:hAnsiTheme="majorHAnsi"/>
          <w:color w:val="000000" w:themeColor="text1"/>
          <w:sz w:val="22"/>
          <w:szCs w:val="22"/>
        </w:rPr>
        <w:t>ilo 39 disciplinskih postupak</w:t>
      </w:r>
      <w:r w:rsidR="007C399C" w:rsidRPr="0054107F">
        <w:rPr>
          <w:rFonts w:asciiTheme="majorHAnsi" w:hAnsiTheme="majorHAnsi"/>
          <w:color w:val="000000" w:themeColor="text1"/>
          <w:sz w:val="22"/>
          <w:szCs w:val="22"/>
        </w:rPr>
        <w:t>a</w:t>
      </w:r>
      <w:r w:rsidRPr="0054107F">
        <w:rPr>
          <w:rFonts w:asciiTheme="majorHAnsi" w:hAnsiTheme="majorHAnsi"/>
          <w:color w:val="000000" w:themeColor="text1"/>
          <w:sz w:val="22"/>
          <w:szCs w:val="22"/>
        </w:rPr>
        <w:t>,</w:t>
      </w:r>
      <w:r w:rsidR="007C399C" w:rsidRPr="0054107F">
        <w:rPr>
          <w:rFonts w:asciiTheme="majorHAnsi" w:hAnsiTheme="majorHAnsi"/>
          <w:color w:val="000000" w:themeColor="text1"/>
          <w:sz w:val="22"/>
          <w:szCs w:val="22"/>
        </w:rPr>
        <w:t xml:space="preserve"> od čega najveći broj u Direkciji za koordinaciju policijskih tijela BiH 21.</w:t>
      </w:r>
      <w:r w:rsidR="007C399C" w:rsidRPr="0054107F">
        <w:rPr>
          <w:rStyle w:val="FootnoteReference"/>
          <w:rFonts w:asciiTheme="majorHAnsi" w:hAnsiTheme="majorHAnsi"/>
          <w:color w:val="000000" w:themeColor="text1"/>
          <w:sz w:val="22"/>
          <w:szCs w:val="22"/>
        </w:rPr>
        <w:footnoteReference w:id="2"/>
      </w:r>
      <w:r w:rsidR="0067315F" w:rsidRPr="0054107F">
        <w:rPr>
          <w:rFonts w:asciiTheme="majorHAnsi" w:hAnsiTheme="majorHAnsi"/>
          <w:color w:val="000000" w:themeColor="text1"/>
          <w:sz w:val="22"/>
          <w:szCs w:val="22"/>
        </w:rPr>
        <w:t xml:space="preserve"> </w:t>
      </w:r>
      <w:r w:rsidR="007C399C" w:rsidRPr="0054107F">
        <w:rPr>
          <w:rFonts w:asciiTheme="majorHAnsi" w:hAnsiTheme="majorHAnsi"/>
          <w:color w:val="000000" w:themeColor="text1"/>
          <w:sz w:val="22"/>
          <w:szCs w:val="22"/>
        </w:rPr>
        <w:t xml:space="preserve">ADS u okviru svojih godišnjih izvještaja objavljuje statistiku vođenih disciplinskih postupaka </w:t>
      </w:r>
      <w:proofErr w:type="gramStart"/>
      <w:r w:rsidR="007C399C" w:rsidRPr="0054107F">
        <w:rPr>
          <w:rFonts w:asciiTheme="majorHAnsi" w:hAnsiTheme="majorHAnsi"/>
          <w:color w:val="000000" w:themeColor="text1"/>
          <w:sz w:val="22"/>
          <w:szCs w:val="22"/>
        </w:rPr>
        <w:t>ali</w:t>
      </w:r>
      <w:proofErr w:type="gramEnd"/>
      <w:r w:rsidR="007C399C" w:rsidRPr="0054107F">
        <w:rPr>
          <w:rFonts w:asciiTheme="majorHAnsi" w:hAnsiTheme="majorHAnsi"/>
          <w:color w:val="000000" w:themeColor="text1"/>
          <w:sz w:val="22"/>
          <w:szCs w:val="22"/>
        </w:rPr>
        <w:t xml:space="preserve"> bez detaljne strukture o vrstama </w:t>
      </w:r>
      <w:r w:rsidR="00754472" w:rsidRPr="0054107F">
        <w:rPr>
          <w:rFonts w:asciiTheme="majorHAnsi" w:hAnsiTheme="majorHAnsi"/>
          <w:color w:val="000000" w:themeColor="text1"/>
          <w:sz w:val="22"/>
          <w:szCs w:val="22"/>
        </w:rPr>
        <w:t>s</w:t>
      </w:r>
      <w:r w:rsidR="007C399C" w:rsidRPr="0054107F">
        <w:rPr>
          <w:rFonts w:asciiTheme="majorHAnsi" w:hAnsiTheme="majorHAnsi"/>
          <w:color w:val="000000" w:themeColor="text1"/>
          <w:sz w:val="22"/>
          <w:szCs w:val="22"/>
        </w:rPr>
        <w:t>ankcija.</w:t>
      </w:r>
      <w:r w:rsidR="007C399C" w:rsidRPr="0054107F">
        <w:rPr>
          <w:rStyle w:val="FootnoteReference"/>
          <w:rFonts w:asciiTheme="majorHAnsi" w:hAnsiTheme="majorHAnsi"/>
          <w:color w:val="000000" w:themeColor="text1"/>
          <w:sz w:val="22"/>
          <w:szCs w:val="22"/>
        </w:rPr>
        <w:footnoteReference w:id="3"/>
      </w:r>
      <w:r w:rsidR="007C399C" w:rsidRPr="0054107F">
        <w:rPr>
          <w:rFonts w:asciiTheme="majorHAnsi" w:hAnsiTheme="majorHAnsi"/>
          <w:color w:val="000000" w:themeColor="text1"/>
          <w:sz w:val="22"/>
          <w:szCs w:val="22"/>
        </w:rPr>
        <w:t xml:space="preserve"> Tako je prema podacima ADS prema statistici koju vodi u 2014</w:t>
      </w:r>
      <w:r w:rsidR="003A21E9">
        <w:rPr>
          <w:rFonts w:asciiTheme="majorHAnsi" w:hAnsiTheme="majorHAnsi"/>
          <w:color w:val="000000" w:themeColor="text1"/>
          <w:sz w:val="22"/>
          <w:szCs w:val="22"/>
        </w:rPr>
        <w:t xml:space="preserve">. </w:t>
      </w:r>
      <w:proofErr w:type="gramStart"/>
      <w:r w:rsidR="003A21E9">
        <w:rPr>
          <w:rFonts w:asciiTheme="majorHAnsi" w:hAnsiTheme="majorHAnsi"/>
          <w:color w:val="000000" w:themeColor="text1"/>
          <w:sz w:val="22"/>
          <w:szCs w:val="22"/>
        </w:rPr>
        <w:t>godini</w:t>
      </w:r>
      <w:proofErr w:type="gramEnd"/>
      <w:r w:rsidR="007C399C" w:rsidRPr="0054107F">
        <w:rPr>
          <w:rFonts w:asciiTheme="majorHAnsi" w:hAnsiTheme="majorHAnsi"/>
          <w:color w:val="000000" w:themeColor="text1"/>
          <w:sz w:val="22"/>
          <w:szCs w:val="22"/>
        </w:rPr>
        <w:t xml:space="preserve"> vođeno ukupno 16 postupaka, odnosno u 2015</w:t>
      </w:r>
      <w:r w:rsidR="003A21E9">
        <w:rPr>
          <w:rFonts w:asciiTheme="majorHAnsi" w:hAnsiTheme="majorHAnsi"/>
          <w:color w:val="000000" w:themeColor="text1"/>
          <w:sz w:val="22"/>
          <w:szCs w:val="22"/>
        </w:rPr>
        <w:t xml:space="preserve">. </w:t>
      </w:r>
      <w:proofErr w:type="gramStart"/>
      <w:r w:rsidR="003A21E9">
        <w:rPr>
          <w:rFonts w:asciiTheme="majorHAnsi" w:hAnsiTheme="majorHAnsi"/>
          <w:color w:val="000000" w:themeColor="text1"/>
          <w:sz w:val="22"/>
          <w:szCs w:val="22"/>
        </w:rPr>
        <w:t>godini</w:t>
      </w:r>
      <w:proofErr w:type="gramEnd"/>
      <w:r w:rsidR="007C399C" w:rsidRPr="0054107F">
        <w:rPr>
          <w:rFonts w:asciiTheme="majorHAnsi" w:hAnsiTheme="majorHAnsi"/>
          <w:color w:val="000000" w:themeColor="text1"/>
          <w:sz w:val="22"/>
          <w:szCs w:val="22"/>
        </w:rPr>
        <w:t xml:space="preserve"> 12 postupaka.</w:t>
      </w:r>
    </w:p>
    <w:p w14:paraId="4CAB9DBE" w14:textId="77777777" w:rsidR="00615231" w:rsidRPr="0054107F" w:rsidRDefault="00615231" w:rsidP="00754472">
      <w:pPr>
        <w:jc w:val="both"/>
        <w:rPr>
          <w:rFonts w:asciiTheme="majorHAnsi" w:hAnsiTheme="majorHAnsi"/>
          <w:color w:val="000000" w:themeColor="text1"/>
          <w:sz w:val="22"/>
          <w:szCs w:val="22"/>
        </w:rPr>
      </w:pPr>
    </w:p>
    <w:p w14:paraId="15915F26" w14:textId="77777777" w:rsidR="00F9072C" w:rsidRPr="0054107F" w:rsidRDefault="00F9072C" w:rsidP="00F9072C">
      <w:pPr>
        <w:jc w:val="both"/>
        <w:rPr>
          <w:rFonts w:asciiTheme="majorHAnsi" w:hAnsiTheme="majorHAnsi"/>
          <w:sz w:val="22"/>
          <w:szCs w:val="22"/>
          <w:lang w:val="de-DE"/>
        </w:rPr>
      </w:pPr>
      <w:r w:rsidRPr="0054107F">
        <w:rPr>
          <w:rFonts w:asciiTheme="majorHAnsi" w:hAnsiTheme="majorHAnsi"/>
          <w:sz w:val="22"/>
          <w:szCs w:val="22"/>
          <w:lang w:val="de-DE"/>
        </w:rPr>
        <w:t>Na uzorku od 9 institucija na nivou FBiH koje su učestvovale u monitoring</w:t>
      </w:r>
      <w:r>
        <w:rPr>
          <w:rFonts w:asciiTheme="majorHAnsi" w:hAnsiTheme="majorHAnsi"/>
          <w:sz w:val="22"/>
          <w:szCs w:val="22"/>
          <w:lang w:val="de-DE"/>
        </w:rPr>
        <w:t>u u</w:t>
      </w:r>
      <w:r w:rsidRPr="0054107F">
        <w:rPr>
          <w:rFonts w:asciiTheme="majorHAnsi" w:hAnsiTheme="majorHAnsi"/>
          <w:sz w:val="22"/>
          <w:szCs w:val="22"/>
          <w:lang w:val="de-DE"/>
        </w:rPr>
        <w:t xml:space="preserve"> referentnom periodu (2014. i 2015. godina) u 6 nije pokrenut niti jedan disciplinski postupak. Dakle, u više od 60% institucija u protekle dvije godine nije pokrenut disciplinski postupak. U posmatranom periodu</w:t>
      </w:r>
      <w:r>
        <w:rPr>
          <w:rFonts w:asciiTheme="majorHAnsi" w:hAnsiTheme="majorHAnsi"/>
          <w:sz w:val="22"/>
          <w:szCs w:val="22"/>
          <w:lang w:val="de-DE"/>
        </w:rPr>
        <w:t xml:space="preserve"> u</w:t>
      </w:r>
      <w:r w:rsidRPr="0054107F">
        <w:rPr>
          <w:rFonts w:asciiTheme="majorHAnsi" w:hAnsiTheme="majorHAnsi"/>
          <w:sz w:val="22"/>
          <w:szCs w:val="22"/>
          <w:lang w:val="de-DE"/>
        </w:rPr>
        <w:t xml:space="preserve"> Federalnom ministarstvu poljoprivrede, vodoprivrede i šumarstva evidentirana su 2 disciplinska postupka (po jedan disciplincki postupak godišnje), te u Federalnoj direkciji robnih rezervi 4 disciplinska postupka (u </w:t>
      </w:r>
      <w:r w:rsidRPr="0054107F">
        <w:rPr>
          <w:rFonts w:asciiTheme="majorHAnsi" w:hAnsiTheme="majorHAnsi"/>
          <w:sz w:val="22"/>
          <w:szCs w:val="22"/>
          <w:lang w:val="de-DE"/>
        </w:rPr>
        <w:lastRenderedPageBreak/>
        <w:t>prosjeku 2 disciplinska postupka u godini). Ovi disciplinski postupci okončani su opomenom ili bez sankcija. Izuzetak predstavlja Poreska uprava, gdje je u periodu 2014.-2015. evidentirano ukupno 15 disciplinskih postupaka koji uglavnom završavaju suspenzijom sa poslova i plaće u periodu od 2, 5, 15 i 30 dana, te javnom opomenom.</w:t>
      </w:r>
    </w:p>
    <w:p w14:paraId="04FBE36A" w14:textId="77777777" w:rsidR="00F9072C" w:rsidRPr="0054107F" w:rsidRDefault="00F9072C" w:rsidP="00F9072C">
      <w:pPr>
        <w:jc w:val="both"/>
        <w:rPr>
          <w:rFonts w:asciiTheme="majorHAnsi" w:hAnsiTheme="majorHAnsi"/>
          <w:sz w:val="22"/>
          <w:szCs w:val="22"/>
          <w:lang w:val="de-DE"/>
        </w:rPr>
      </w:pPr>
    </w:p>
    <w:p w14:paraId="6ECF58A3" w14:textId="3ECFC080" w:rsidR="00C36F17" w:rsidRPr="0054107F" w:rsidRDefault="00F9072C" w:rsidP="00754472">
      <w:pPr>
        <w:jc w:val="both"/>
        <w:rPr>
          <w:rFonts w:asciiTheme="majorHAnsi" w:hAnsiTheme="majorHAnsi"/>
          <w:color w:val="000000" w:themeColor="text1"/>
          <w:sz w:val="22"/>
          <w:szCs w:val="22"/>
        </w:rPr>
      </w:pPr>
      <w:r w:rsidRPr="0054107F">
        <w:rPr>
          <w:rFonts w:asciiTheme="majorHAnsi" w:hAnsiTheme="majorHAnsi"/>
          <w:sz w:val="22"/>
          <w:szCs w:val="22"/>
          <w:lang w:val="de-DE"/>
        </w:rPr>
        <w:t>Slična situacija zabilježena je i u</w:t>
      </w:r>
      <w:r>
        <w:rPr>
          <w:rFonts w:asciiTheme="majorHAnsi" w:hAnsiTheme="majorHAnsi"/>
          <w:sz w:val="22"/>
          <w:szCs w:val="22"/>
          <w:lang w:val="de-DE"/>
        </w:rPr>
        <w:t xml:space="preserve"> RS. </w:t>
      </w:r>
      <w:r w:rsidR="00C36F17" w:rsidRPr="0054107F">
        <w:rPr>
          <w:rFonts w:asciiTheme="majorHAnsi" w:hAnsiTheme="majorHAnsi"/>
          <w:color w:val="000000" w:themeColor="text1"/>
          <w:sz w:val="22"/>
          <w:szCs w:val="22"/>
        </w:rPr>
        <w:t xml:space="preserve">Na uzorku </w:t>
      </w:r>
      <w:proofErr w:type="gramStart"/>
      <w:r w:rsidR="00C36F17" w:rsidRPr="0054107F">
        <w:rPr>
          <w:rFonts w:asciiTheme="majorHAnsi" w:hAnsiTheme="majorHAnsi"/>
          <w:color w:val="000000" w:themeColor="text1"/>
          <w:sz w:val="22"/>
          <w:szCs w:val="22"/>
        </w:rPr>
        <w:t>od</w:t>
      </w:r>
      <w:proofErr w:type="gramEnd"/>
      <w:r w:rsidR="00C36F17" w:rsidRPr="0054107F">
        <w:rPr>
          <w:rFonts w:asciiTheme="majorHAnsi" w:hAnsiTheme="majorHAnsi"/>
          <w:color w:val="000000" w:themeColor="text1"/>
          <w:sz w:val="22"/>
          <w:szCs w:val="22"/>
        </w:rPr>
        <w:t xml:space="preserve"> 11 institucija koje su učestovale u monitoringu u referentnom periodu (2014. i 2015.</w:t>
      </w:r>
      <w:r w:rsidR="003A21E9">
        <w:rPr>
          <w:rFonts w:asciiTheme="majorHAnsi" w:hAnsiTheme="majorHAnsi"/>
          <w:color w:val="000000" w:themeColor="text1"/>
          <w:sz w:val="22"/>
          <w:szCs w:val="22"/>
        </w:rPr>
        <w:t xml:space="preserve"> godine</w:t>
      </w:r>
      <w:r w:rsidR="00C36F17" w:rsidRPr="0054107F">
        <w:rPr>
          <w:rFonts w:asciiTheme="majorHAnsi" w:hAnsiTheme="majorHAnsi"/>
          <w:color w:val="000000" w:themeColor="text1"/>
          <w:sz w:val="22"/>
          <w:szCs w:val="22"/>
        </w:rPr>
        <w:t>) registrovano je 50 disciplinskih postupaka, a od toga najveći dio (47) odnosi se na Repuličk</w:t>
      </w:r>
      <w:r w:rsidR="003A21E9">
        <w:rPr>
          <w:rFonts w:asciiTheme="majorHAnsi" w:hAnsiTheme="majorHAnsi"/>
          <w:color w:val="000000" w:themeColor="text1"/>
          <w:sz w:val="22"/>
          <w:szCs w:val="22"/>
        </w:rPr>
        <w:t>u</w:t>
      </w:r>
      <w:r w:rsidR="00C36F17" w:rsidRPr="0054107F">
        <w:rPr>
          <w:rFonts w:asciiTheme="majorHAnsi" w:hAnsiTheme="majorHAnsi"/>
          <w:color w:val="000000" w:themeColor="text1"/>
          <w:sz w:val="22"/>
          <w:szCs w:val="22"/>
        </w:rPr>
        <w:t xml:space="preserve"> upravu za gedotske i imovinsko-pravne poslove (RUGIPP). Ukoliko isključimo ovu instituciju, ispostavlja se da institut disciplinske odgovorno</w:t>
      </w:r>
      <w:r w:rsidR="00F12768">
        <w:rPr>
          <w:rFonts w:asciiTheme="majorHAnsi" w:hAnsiTheme="majorHAnsi"/>
          <w:color w:val="000000" w:themeColor="text1"/>
          <w:sz w:val="22"/>
          <w:szCs w:val="22"/>
        </w:rPr>
        <w:t xml:space="preserve">sti gotovo i </w:t>
      </w:r>
      <w:r w:rsidR="008C321A" w:rsidRPr="0054107F">
        <w:rPr>
          <w:rFonts w:asciiTheme="majorHAnsi" w:hAnsiTheme="majorHAnsi"/>
          <w:color w:val="000000" w:themeColor="text1"/>
          <w:sz w:val="22"/>
          <w:szCs w:val="22"/>
        </w:rPr>
        <w:t xml:space="preserve">nije poznat </w:t>
      </w:r>
      <w:r w:rsidR="00F12768">
        <w:rPr>
          <w:rFonts w:asciiTheme="majorHAnsi" w:hAnsiTheme="majorHAnsi"/>
          <w:color w:val="000000" w:themeColor="text1"/>
          <w:sz w:val="22"/>
          <w:szCs w:val="22"/>
        </w:rPr>
        <w:t xml:space="preserve">u praksi, jer su </w:t>
      </w:r>
      <w:r w:rsidR="00C36F17" w:rsidRPr="0054107F">
        <w:rPr>
          <w:rFonts w:asciiTheme="majorHAnsi" w:hAnsiTheme="majorHAnsi"/>
          <w:color w:val="000000" w:themeColor="text1"/>
          <w:sz w:val="22"/>
          <w:szCs w:val="22"/>
        </w:rPr>
        <w:t xml:space="preserve">u ostalim institucijama pokrenuta samo 3 disciplinska postupka u dvogodišnjem periodu. </w:t>
      </w:r>
      <w:r w:rsidR="002144A8" w:rsidRPr="0054107F">
        <w:rPr>
          <w:rFonts w:asciiTheme="majorHAnsi" w:hAnsiTheme="majorHAnsi"/>
          <w:color w:val="000000" w:themeColor="text1"/>
          <w:sz w:val="22"/>
          <w:szCs w:val="22"/>
        </w:rPr>
        <w:t>Agencija za državnu službu</w:t>
      </w:r>
      <w:r w:rsidR="00615231" w:rsidRPr="0054107F">
        <w:rPr>
          <w:rFonts w:asciiTheme="majorHAnsi" w:hAnsiTheme="majorHAnsi"/>
          <w:color w:val="000000" w:themeColor="text1"/>
          <w:sz w:val="22"/>
          <w:szCs w:val="22"/>
        </w:rPr>
        <w:t xml:space="preserve"> RS</w:t>
      </w:r>
      <w:r w:rsidR="002144A8" w:rsidRPr="0054107F">
        <w:rPr>
          <w:rFonts w:asciiTheme="majorHAnsi" w:hAnsiTheme="majorHAnsi"/>
          <w:color w:val="000000" w:themeColor="text1"/>
          <w:sz w:val="22"/>
          <w:szCs w:val="22"/>
        </w:rPr>
        <w:t xml:space="preserve"> u svom godišnjem izvještaju ne objavljajuje podatke o </w:t>
      </w:r>
      <w:r w:rsidR="00615231" w:rsidRPr="0054107F">
        <w:rPr>
          <w:rFonts w:asciiTheme="majorHAnsi" w:hAnsiTheme="majorHAnsi"/>
          <w:color w:val="000000" w:themeColor="text1"/>
          <w:sz w:val="22"/>
          <w:szCs w:val="22"/>
        </w:rPr>
        <w:t>broju vođenih postupaka.</w:t>
      </w:r>
    </w:p>
    <w:p w14:paraId="23886485" w14:textId="77777777" w:rsidR="00C36F17" w:rsidRPr="0054107F" w:rsidRDefault="00C36F17" w:rsidP="00754472">
      <w:pPr>
        <w:jc w:val="both"/>
        <w:rPr>
          <w:rFonts w:asciiTheme="majorHAnsi" w:hAnsiTheme="majorHAnsi"/>
          <w:color w:val="000000" w:themeColor="text1"/>
          <w:sz w:val="22"/>
          <w:szCs w:val="22"/>
        </w:rPr>
      </w:pPr>
    </w:p>
    <w:p w14:paraId="42850D2C" w14:textId="4B036D17" w:rsidR="007C399C" w:rsidRPr="0054107F" w:rsidRDefault="00615231" w:rsidP="00754472">
      <w:pPr>
        <w:jc w:val="both"/>
        <w:rPr>
          <w:rFonts w:asciiTheme="majorHAnsi" w:hAnsiTheme="majorHAnsi"/>
          <w:sz w:val="22"/>
          <w:szCs w:val="22"/>
          <w:lang w:val="de-DE"/>
        </w:rPr>
      </w:pPr>
      <w:r w:rsidRPr="0054107F">
        <w:rPr>
          <w:rFonts w:asciiTheme="majorHAnsi" w:hAnsiTheme="majorHAnsi"/>
          <w:sz w:val="22"/>
          <w:szCs w:val="22"/>
          <w:lang w:val="de-DE"/>
        </w:rPr>
        <w:t xml:space="preserve">Za razliku od Agencije RS, Agencija za državnu službu </w:t>
      </w:r>
      <w:r w:rsidR="00561568">
        <w:rPr>
          <w:rFonts w:asciiTheme="majorHAnsi" w:hAnsiTheme="majorHAnsi"/>
          <w:sz w:val="22"/>
          <w:szCs w:val="22"/>
          <w:lang w:val="de-DE"/>
        </w:rPr>
        <w:t>F</w:t>
      </w:r>
      <w:r w:rsidR="0014009F" w:rsidRPr="0054107F">
        <w:rPr>
          <w:rFonts w:asciiTheme="majorHAnsi" w:hAnsiTheme="majorHAnsi"/>
          <w:sz w:val="22"/>
          <w:szCs w:val="22"/>
          <w:lang w:val="de-DE"/>
        </w:rPr>
        <w:t xml:space="preserve">BiH </w:t>
      </w:r>
      <w:r w:rsidRPr="0054107F">
        <w:rPr>
          <w:rFonts w:asciiTheme="majorHAnsi" w:hAnsiTheme="majorHAnsi"/>
          <w:sz w:val="22"/>
          <w:szCs w:val="22"/>
          <w:lang w:val="de-DE"/>
        </w:rPr>
        <w:t>kao sastavni dio svojih godišnjih izvještaja objavljuje podatke o ukupnom broju vođenih disciplinskih postupaka sa strukturom sankcija. Tako je prema izvještaju za 2014</w:t>
      </w:r>
      <w:r w:rsidR="008C321A" w:rsidRPr="0054107F">
        <w:rPr>
          <w:rFonts w:asciiTheme="majorHAnsi" w:hAnsiTheme="majorHAnsi"/>
          <w:sz w:val="22"/>
          <w:szCs w:val="22"/>
          <w:lang w:val="de-DE"/>
        </w:rPr>
        <w:t>.</w:t>
      </w:r>
      <w:r w:rsidRPr="0054107F">
        <w:rPr>
          <w:rFonts w:asciiTheme="majorHAnsi" w:hAnsiTheme="majorHAnsi"/>
          <w:sz w:val="22"/>
          <w:szCs w:val="22"/>
          <w:lang w:val="de-DE"/>
        </w:rPr>
        <w:t xml:space="preserve"> vođen ukupno 31 disciplinski postupak</w:t>
      </w:r>
      <w:r w:rsidR="00743F5C">
        <w:rPr>
          <w:rFonts w:asciiTheme="majorHAnsi" w:hAnsiTheme="majorHAnsi"/>
          <w:sz w:val="22"/>
          <w:szCs w:val="22"/>
          <w:lang w:val="de-DE"/>
        </w:rPr>
        <w:t>. Evidentirani postupci</w:t>
      </w:r>
      <w:r w:rsidRPr="0054107F">
        <w:rPr>
          <w:rFonts w:asciiTheme="majorHAnsi" w:hAnsiTheme="majorHAnsi"/>
          <w:sz w:val="22"/>
          <w:szCs w:val="22"/>
          <w:lang w:val="de-DE"/>
        </w:rPr>
        <w:t xml:space="preserve"> okončani </w:t>
      </w:r>
      <w:r w:rsidR="00743F5C" w:rsidRPr="0054107F">
        <w:rPr>
          <w:rFonts w:asciiTheme="majorHAnsi" w:hAnsiTheme="majorHAnsi"/>
          <w:sz w:val="22"/>
          <w:szCs w:val="22"/>
          <w:lang w:val="de-DE"/>
        </w:rPr>
        <w:t xml:space="preserve">su </w:t>
      </w:r>
      <w:r w:rsidRPr="0054107F">
        <w:rPr>
          <w:rFonts w:asciiTheme="majorHAnsi" w:hAnsiTheme="majorHAnsi"/>
          <w:sz w:val="22"/>
          <w:szCs w:val="22"/>
          <w:lang w:val="de-DE"/>
        </w:rPr>
        <w:t>sankcionisanjem u 7 slučajeva (ostali postupci su ili obustavljeni, zastarjeli ili još uvijek u toku.</w:t>
      </w:r>
    </w:p>
    <w:p w14:paraId="4500F109" w14:textId="77777777" w:rsidR="008C321A" w:rsidRPr="0054107F" w:rsidRDefault="008C321A" w:rsidP="00754472">
      <w:pPr>
        <w:jc w:val="both"/>
        <w:rPr>
          <w:rFonts w:asciiTheme="majorHAnsi" w:hAnsiTheme="majorHAnsi"/>
          <w:i/>
          <w:sz w:val="22"/>
          <w:szCs w:val="22"/>
          <w:lang w:val="de-DE"/>
        </w:rPr>
      </w:pPr>
    </w:p>
    <w:p w14:paraId="784369A6" w14:textId="77777777" w:rsidR="008C321A" w:rsidRPr="008C321A" w:rsidRDefault="008C321A" w:rsidP="008C321A">
      <w:pPr>
        <w:jc w:val="both"/>
        <w:rPr>
          <w:rFonts w:asciiTheme="majorHAnsi" w:eastAsia="Calibri" w:hAnsiTheme="majorHAnsi" w:cs="Times New Roman"/>
          <w:i/>
          <w:sz w:val="22"/>
          <w:szCs w:val="22"/>
          <w:lang w:val="bs-Latn-BA"/>
        </w:rPr>
      </w:pPr>
      <w:r w:rsidRPr="008C321A">
        <w:rPr>
          <w:rFonts w:asciiTheme="majorHAnsi" w:eastAsia="Calibri" w:hAnsiTheme="majorHAnsi" w:cs="Times New Roman"/>
          <w:b/>
          <w:sz w:val="22"/>
          <w:szCs w:val="22"/>
          <w:lang w:val="bs-Latn-BA"/>
        </w:rPr>
        <w:t xml:space="preserve">Zaključak: </w:t>
      </w:r>
      <w:r w:rsidRPr="008C321A">
        <w:rPr>
          <w:rFonts w:asciiTheme="majorHAnsi" w:eastAsia="Calibri" w:hAnsiTheme="majorHAnsi" w:cs="Times New Roman"/>
          <w:i/>
          <w:sz w:val="22"/>
          <w:szCs w:val="22"/>
          <w:lang w:val="bs-Latn-BA"/>
        </w:rPr>
        <w:t xml:space="preserve">Ukupno gledajući na svim nivoima primjetan je relativno mali broj sprovedenih disciplinskih postupaka sa uglavnom blagim izrečenim sankcijama. Sa druge strane, prisutne su znatne oscilacije između institucija kada je u pitanju broj dicisplinskih postupaka vođenih protiv njihovih zaposlenika. Osim nekoliko izuzetaka, gdje je zabilježen iznimno velik broj postupaka, u većini institucija uopšte nije primjenjivan institut disciplinske odgovornosti. </w:t>
      </w:r>
    </w:p>
    <w:p w14:paraId="4D3904C2" w14:textId="77777777" w:rsidR="008C321A" w:rsidRPr="008C321A" w:rsidRDefault="008C321A" w:rsidP="008C321A">
      <w:pPr>
        <w:jc w:val="both"/>
        <w:rPr>
          <w:rFonts w:asciiTheme="majorHAnsi" w:eastAsia="Calibri" w:hAnsiTheme="majorHAnsi" w:cs="Times New Roman"/>
          <w:i/>
          <w:sz w:val="22"/>
          <w:szCs w:val="22"/>
          <w:lang w:val="bs-Latn-BA"/>
        </w:rPr>
      </w:pPr>
    </w:p>
    <w:p w14:paraId="1F785F45" w14:textId="2122962B" w:rsidR="008C321A" w:rsidRPr="008C321A" w:rsidRDefault="008C321A" w:rsidP="00324A7B">
      <w:pPr>
        <w:spacing w:after="240"/>
        <w:jc w:val="both"/>
        <w:rPr>
          <w:rFonts w:asciiTheme="majorHAnsi" w:eastAsia="Calibri" w:hAnsiTheme="majorHAnsi" w:cs="Times New Roman"/>
          <w:b/>
          <w:i/>
          <w:sz w:val="22"/>
          <w:szCs w:val="22"/>
          <w:lang w:val="bs-Latn-BA"/>
        </w:rPr>
      </w:pPr>
      <w:r w:rsidRPr="008C321A">
        <w:rPr>
          <w:rFonts w:asciiTheme="majorHAnsi" w:eastAsia="Calibri" w:hAnsiTheme="majorHAnsi" w:cs="Times New Roman"/>
          <w:b/>
          <w:sz w:val="22"/>
          <w:szCs w:val="22"/>
          <w:lang w:val="bs-Latn-BA"/>
        </w:rPr>
        <w:t>Preporuka</w:t>
      </w:r>
      <w:r w:rsidRPr="008C321A">
        <w:rPr>
          <w:rFonts w:asciiTheme="majorHAnsi" w:eastAsia="Calibri" w:hAnsiTheme="majorHAnsi" w:cs="Times New Roman"/>
          <w:b/>
          <w:i/>
          <w:sz w:val="22"/>
          <w:szCs w:val="22"/>
          <w:lang w:val="bs-Latn-BA"/>
        </w:rPr>
        <w:t xml:space="preserve">: </w:t>
      </w:r>
      <w:r w:rsidRPr="008C321A">
        <w:rPr>
          <w:rFonts w:asciiTheme="majorHAnsi" w:eastAsia="Calibri" w:hAnsiTheme="majorHAnsi" w:cs="Times New Roman"/>
          <w:i/>
          <w:sz w:val="22"/>
          <w:szCs w:val="22"/>
          <w:lang w:val="bs-Latn-BA"/>
        </w:rPr>
        <w:t xml:space="preserve">Potrebno je harmonizovati pravila i procedure kojim se regulišu disciplinski postupci na svim nivoima. U tom smislu potrebno je osigurati da ADS </w:t>
      </w:r>
      <w:r w:rsidR="007413CB" w:rsidRPr="0054107F">
        <w:rPr>
          <w:rFonts w:asciiTheme="majorHAnsi" w:eastAsia="Calibri" w:hAnsiTheme="majorHAnsi" w:cs="Times New Roman"/>
          <w:i/>
          <w:sz w:val="22"/>
          <w:szCs w:val="22"/>
          <w:lang w:val="bs-Latn-BA"/>
        </w:rPr>
        <w:t xml:space="preserve">(ADU) </w:t>
      </w:r>
      <w:r w:rsidRPr="008C321A">
        <w:rPr>
          <w:rFonts w:asciiTheme="majorHAnsi" w:eastAsia="Calibri" w:hAnsiTheme="majorHAnsi" w:cs="Times New Roman"/>
          <w:i/>
          <w:sz w:val="22"/>
          <w:szCs w:val="22"/>
          <w:lang w:val="bs-Latn-BA"/>
        </w:rPr>
        <w:t>preuzmu u potpunosti vođenje postupaka, kao nezavisne institucije koje imaju kapacitet za provedbu navedenih postupaka na dosljedan i nepristrasan način. Isto tako</w:t>
      </w:r>
      <w:r w:rsidR="007413CB" w:rsidRPr="0054107F">
        <w:rPr>
          <w:rFonts w:asciiTheme="majorHAnsi" w:eastAsia="Calibri" w:hAnsiTheme="majorHAnsi" w:cs="Times New Roman"/>
          <w:i/>
          <w:sz w:val="22"/>
          <w:szCs w:val="22"/>
          <w:lang w:val="bs-Latn-BA"/>
        </w:rPr>
        <w:t>,</w:t>
      </w:r>
      <w:r w:rsidRPr="008C321A">
        <w:rPr>
          <w:rFonts w:asciiTheme="majorHAnsi" w:eastAsia="Calibri" w:hAnsiTheme="majorHAnsi" w:cs="Times New Roman"/>
          <w:i/>
          <w:sz w:val="22"/>
          <w:szCs w:val="22"/>
          <w:lang w:val="bs-Latn-BA"/>
        </w:rPr>
        <w:t xml:space="preserve"> potrebno je osigurati odgovarajuće praćenje i analizu statistika o vođenim postupcima u cilju analize, te ih učiniti proaktivno transparentnim.</w:t>
      </w:r>
    </w:p>
    <w:p w14:paraId="502BD28A" w14:textId="77777777" w:rsidR="008C321A" w:rsidRPr="0054107F" w:rsidRDefault="008C321A" w:rsidP="00754472">
      <w:pPr>
        <w:jc w:val="both"/>
        <w:rPr>
          <w:rFonts w:asciiTheme="majorHAnsi" w:hAnsiTheme="majorHAnsi"/>
          <w:b/>
          <w:i/>
          <w:sz w:val="22"/>
          <w:szCs w:val="22"/>
          <w:lang w:val="bs-Latn-BA"/>
        </w:rPr>
      </w:pPr>
    </w:p>
    <w:p w14:paraId="2CDA91E3" w14:textId="77777777" w:rsidR="00C36F17" w:rsidRPr="0054107F" w:rsidRDefault="00C36F17" w:rsidP="00754472">
      <w:pPr>
        <w:pStyle w:val="ListParagraph"/>
        <w:numPr>
          <w:ilvl w:val="0"/>
          <w:numId w:val="1"/>
        </w:numPr>
        <w:jc w:val="both"/>
        <w:rPr>
          <w:rFonts w:asciiTheme="majorHAnsi" w:hAnsiTheme="majorHAnsi"/>
          <w:b/>
          <w:lang w:val="bs-Latn-BA"/>
        </w:rPr>
      </w:pPr>
      <w:r w:rsidRPr="0054107F">
        <w:rPr>
          <w:rFonts w:asciiTheme="majorHAnsi" w:hAnsiTheme="majorHAnsi"/>
          <w:b/>
          <w:lang w:val="bs-Latn-BA"/>
        </w:rPr>
        <w:t>Postupci vođeni protiv institucije (po tužbama građana i uposlenika)</w:t>
      </w:r>
    </w:p>
    <w:p w14:paraId="581B7F04" w14:textId="77777777" w:rsidR="003E1537" w:rsidRPr="0054107F" w:rsidRDefault="003E1537" w:rsidP="00754472">
      <w:pPr>
        <w:pStyle w:val="ListParagraph"/>
        <w:jc w:val="both"/>
        <w:rPr>
          <w:rFonts w:asciiTheme="majorHAnsi" w:hAnsiTheme="majorHAnsi"/>
          <w:sz w:val="22"/>
          <w:szCs w:val="22"/>
          <w:lang w:val="bs-Latn-BA"/>
        </w:rPr>
      </w:pPr>
    </w:p>
    <w:p w14:paraId="31E49638" w14:textId="7AD8B373" w:rsidR="00606171" w:rsidRPr="0054107F" w:rsidRDefault="003E1537" w:rsidP="00754472">
      <w:pPr>
        <w:jc w:val="both"/>
        <w:rPr>
          <w:rFonts w:asciiTheme="majorHAnsi" w:hAnsiTheme="majorHAnsi"/>
          <w:sz w:val="22"/>
          <w:szCs w:val="22"/>
          <w:lang w:val="de-DE"/>
        </w:rPr>
      </w:pPr>
      <w:r w:rsidRPr="0054107F">
        <w:rPr>
          <w:rFonts w:asciiTheme="majorHAnsi" w:hAnsiTheme="majorHAnsi"/>
          <w:sz w:val="22"/>
          <w:szCs w:val="22"/>
          <w:lang w:val="de-DE"/>
        </w:rPr>
        <w:t>Na državnom nivou</w:t>
      </w:r>
      <w:r w:rsidR="001608E7" w:rsidRPr="0054107F">
        <w:rPr>
          <w:rFonts w:asciiTheme="majorHAnsi" w:hAnsiTheme="majorHAnsi"/>
          <w:sz w:val="22"/>
          <w:szCs w:val="22"/>
          <w:lang w:val="de-DE"/>
        </w:rPr>
        <w:t>,</w:t>
      </w:r>
      <w:r w:rsidRPr="0054107F">
        <w:rPr>
          <w:rFonts w:asciiTheme="majorHAnsi" w:hAnsiTheme="majorHAnsi"/>
          <w:sz w:val="22"/>
          <w:szCs w:val="22"/>
          <w:lang w:val="de-DE"/>
        </w:rPr>
        <w:t xml:space="preserve"> u posmatranom period</w:t>
      </w:r>
      <w:r w:rsidR="001608E7" w:rsidRPr="0054107F">
        <w:rPr>
          <w:rFonts w:asciiTheme="majorHAnsi" w:hAnsiTheme="majorHAnsi"/>
          <w:sz w:val="22"/>
          <w:szCs w:val="22"/>
          <w:lang w:val="de-DE"/>
        </w:rPr>
        <w:t>u, bilo je podnijeto ukupno 150</w:t>
      </w:r>
      <w:r w:rsidRPr="0054107F">
        <w:rPr>
          <w:rFonts w:asciiTheme="majorHAnsi" w:hAnsiTheme="majorHAnsi"/>
          <w:sz w:val="22"/>
          <w:szCs w:val="22"/>
          <w:lang w:val="de-DE"/>
        </w:rPr>
        <w:t xml:space="preserve"> tužbi i to u najvećem broju po osnovu naplate štete ili </w:t>
      </w:r>
      <w:r w:rsidR="001608E7" w:rsidRPr="0054107F">
        <w:rPr>
          <w:rFonts w:asciiTheme="majorHAnsi" w:hAnsiTheme="majorHAnsi"/>
          <w:sz w:val="22"/>
          <w:szCs w:val="22"/>
          <w:lang w:val="de-DE"/>
        </w:rPr>
        <w:t xml:space="preserve">dugovanja od čega ubjedljivo najveći broj (136) u Ministarstvu odbrane. 84 postupka vođena su po tužbama uposlenika, a oni </w:t>
      </w:r>
      <w:r w:rsidRPr="0054107F">
        <w:rPr>
          <w:rFonts w:asciiTheme="majorHAnsi" w:hAnsiTheme="majorHAnsi"/>
          <w:sz w:val="22"/>
          <w:szCs w:val="22"/>
          <w:lang w:val="de-DE"/>
        </w:rPr>
        <w:t>su vođeni uglavnom po osnovu zaštite prava koja proizilaze iz radnog odnosa.</w:t>
      </w:r>
    </w:p>
    <w:p w14:paraId="2963AD0D" w14:textId="77777777" w:rsidR="003E1537" w:rsidRPr="0054107F" w:rsidRDefault="003E1537" w:rsidP="00754472">
      <w:pPr>
        <w:jc w:val="both"/>
        <w:rPr>
          <w:rFonts w:asciiTheme="majorHAnsi" w:hAnsiTheme="majorHAnsi"/>
          <w:sz w:val="22"/>
          <w:szCs w:val="22"/>
          <w:lang w:val="de-DE"/>
        </w:rPr>
      </w:pPr>
    </w:p>
    <w:p w14:paraId="70F38329" w14:textId="2D23CF7B" w:rsidR="00542BC9" w:rsidRPr="0054107F" w:rsidRDefault="00542BC9" w:rsidP="00754472">
      <w:pPr>
        <w:jc w:val="both"/>
        <w:rPr>
          <w:rFonts w:asciiTheme="majorHAnsi" w:hAnsiTheme="majorHAnsi"/>
          <w:sz w:val="22"/>
          <w:szCs w:val="22"/>
          <w:lang w:val="de-DE"/>
        </w:rPr>
      </w:pPr>
      <w:r w:rsidRPr="0054107F">
        <w:rPr>
          <w:rFonts w:asciiTheme="majorHAnsi" w:hAnsiTheme="majorHAnsi"/>
          <w:sz w:val="22"/>
          <w:szCs w:val="22"/>
          <w:lang w:val="de-DE"/>
        </w:rPr>
        <w:t>Na posmatranom uzorku od 9 institucija</w:t>
      </w:r>
      <w:r w:rsidR="00F52163" w:rsidRPr="0054107F">
        <w:rPr>
          <w:rFonts w:asciiTheme="majorHAnsi" w:hAnsiTheme="majorHAnsi"/>
          <w:sz w:val="22"/>
          <w:szCs w:val="22"/>
          <w:lang w:val="de-DE"/>
        </w:rPr>
        <w:t xml:space="preserve"> FBiH</w:t>
      </w:r>
      <w:r w:rsidRPr="0054107F">
        <w:rPr>
          <w:rFonts w:asciiTheme="majorHAnsi" w:hAnsiTheme="majorHAnsi"/>
          <w:sz w:val="22"/>
          <w:szCs w:val="22"/>
          <w:lang w:val="de-DE"/>
        </w:rPr>
        <w:t xml:space="preserve"> </w:t>
      </w:r>
      <w:r w:rsidR="00605E84" w:rsidRPr="0054107F">
        <w:rPr>
          <w:rFonts w:asciiTheme="majorHAnsi" w:hAnsiTheme="majorHAnsi"/>
          <w:sz w:val="22"/>
          <w:szCs w:val="22"/>
          <w:lang w:val="de-DE"/>
        </w:rPr>
        <w:t>u periodu 2014</w:t>
      </w:r>
      <w:r w:rsidR="00551A24">
        <w:rPr>
          <w:rFonts w:asciiTheme="majorHAnsi" w:hAnsiTheme="majorHAnsi"/>
          <w:sz w:val="22"/>
          <w:szCs w:val="22"/>
          <w:lang w:val="de-DE"/>
        </w:rPr>
        <w:t xml:space="preserve">. </w:t>
      </w:r>
      <w:r w:rsidR="00605E84" w:rsidRPr="0054107F">
        <w:rPr>
          <w:rFonts w:asciiTheme="majorHAnsi" w:hAnsiTheme="majorHAnsi"/>
          <w:sz w:val="22"/>
          <w:szCs w:val="22"/>
          <w:lang w:val="de-DE"/>
        </w:rPr>
        <w:t xml:space="preserve">- 2015. </w:t>
      </w:r>
      <w:r w:rsidR="00551A24">
        <w:rPr>
          <w:rFonts w:asciiTheme="majorHAnsi" w:hAnsiTheme="majorHAnsi"/>
          <w:sz w:val="22"/>
          <w:szCs w:val="22"/>
          <w:lang w:val="de-DE"/>
        </w:rPr>
        <w:t>godina,</w:t>
      </w:r>
      <w:r w:rsidR="00605E84" w:rsidRPr="0054107F">
        <w:rPr>
          <w:rFonts w:asciiTheme="majorHAnsi" w:hAnsiTheme="majorHAnsi"/>
          <w:sz w:val="22"/>
          <w:szCs w:val="22"/>
          <w:lang w:val="de-DE"/>
        </w:rPr>
        <w:t xml:space="preserve"> </w:t>
      </w:r>
      <w:r w:rsidRPr="0054107F">
        <w:rPr>
          <w:rFonts w:asciiTheme="majorHAnsi" w:hAnsiTheme="majorHAnsi"/>
          <w:sz w:val="22"/>
          <w:szCs w:val="22"/>
          <w:lang w:val="de-DE"/>
        </w:rPr>
        <w:t>5 institucija nije imalo evidentiranih tužbi od strane trećih lica</w:t>
      </w:r>
      <w:r w:rsidR="00605E84" w:rsidRPr="0054107F">
        <w:rPr>
          <w:rFonts w:asciiTheme="majorHAnsi" w:hAnsiTheme="majorHAnsi"/>
          <w:sz w:val="22"/>
          <w:szCs w:val="22"/>
          <w:lang w:val="de-DE"/>
        </w:rPr>
        <w:t xml:space="preserve">, dok preostale 4 institucije ukupno broje 35 tužbi, što je u prosjeku oko 8 tužbi po instituciji. </w:t>
      </w:r>
      <w:r w:rsidR="00551A24">
        <w:rPr>
          <w:rFonts w:asciiTheme="majorHAnsi" w:hAnsiTheme="majorHAnsi"/>
          <w:sz w:val="22"/>
          <w:szCs w:val="22"/>
          <w:lang w:val="de-DE"/>
        </w:rPr>
        <w:t>Razlozi za tužbe su iz nadlež</w:t>
      </w:r>
      <w:r w:rsidR="00605E84" w:rsidRPr="0054107F">
        <w:rPr>
          <w:rFonts w:asciiTheme="majorHAnsi" w:hAnsiTheme="majorHAnsi"/>
          <w:sz w:val="22"/>
          <w:szCs w:val="22"/>
          <w:lang w:val="de-DE"/>
        </w:rPr>
        <w:t>nosti predmetnih institucija:</w:t>
      </w:r>
      <w:r w:rsidRPr="0054107F">
        <w:rPr>
          <w:rFonts w:asciiTheme="majorHAnsi" w:hAnsiTheme="majorHAnsi"/>
          <w:sz w:val="22"/>
          <w:szCs w:val="22"/>
          <w:lang w:val="de-DE"/>
        </w:rPr>
        <w:t xml:space="preserve"> naknada </w:t>
      </w:r>
      <w:r w:rsidR="00551A24">
        <w:rPr>
          <w:rFonts w:asciiTheme="majorHAnsi" w:hAnsiTheme="majorHAnsi"/>
          <w:sz w:val="22"/>
          <w:szCs w:val="22"/>
          <w:lang w:val="de-DE"/>
        </w:rPr>
        <w:t>š</w:t>
      </w:r>
      <w:r w:rsidRPr="0054107F">
        <w:rPr>
          <w:rFonts w:asciiTheme="majorHAnsi" w:hAnsiTheme="majorHAnsi"/>
          <w:sz w:val="22"/>
          <w:szCs w:val="22"/>
          <w:lang w:val="de-DE"/>
        </w:rPr>
        <w:t>tete zbog ujeda pasa lutalica</w:t>
      </w:r>
      <w:r w:rsidR="00605E84" w:rsidRPr="0054107F">
        <w:rPr>
          <w:rFonts w:asciiTheme="majorHAnsi" w:hAnsiTheme="majorHAnsi"/>
          <w:sz w:val="22"/>
          <w:szCs w:val="22"/>
          <w:lang w:val="de-DE"/>
        </w:rPr>
        <w:t>, konkursne procedure, t</w:t>
      </w:r>
      <w:r w:rsidRPr="0054107F">
        <w:rPr>
          <w:rFonts w:asciiTheme="majorHAnsi" w:hAnsiTheme="majorHAnsi"/>
          <w:sz w:val="22"/>
          <w:szCs w:val="22"/>
          <w:lang w:val="de-DE"/>
        </w:rPr>
        <w:t>užbe protiv akta Komisije, upravni spor ili sudski spor, nezadovoljna stranka rješenjem Komisije</w:t>
      </w:r>
      <w:r w:rsidR="00605E84" w:rsidRPr="0054107F">
        <w:rPr>
          <w:rFonts w:asciiTheme="majorHAnsi" w:hAnsiTheme="majorHAnsi"/>
          <w:sz w:val="22"/>
          <w:szCs w:val="22"/>
          <w:lang w:val="de-DE"/>
        </w:rPr>
        <w:t xml:space="preserve"> ili</w:t>
      </w:r>
      <w:r w:rsidRPr="0054107F">
        <w:rPr>
          <w:rFonts w:asciiTheme="majorHAnsi" w:hAnsiTheme="majorHAnsi"/>
          <w:sz w:val="22"/>
          <w:szCs w:val="22"/>
          <w:lang w:val="de-DE"/>
        </w:rPr>
        <w:t xml:space="preserve"> ja</w:t>
      </w:r>
      <w:r w:rsidR="00605E84" w:rsidRPr="0054107F">
        <w:rPr>
          <w:rFonts w:asciiTheme="majorHAnsi" w:hAnsiTheme="majorHAnsi"/>
          <w:sz w:val="22"/>
          <w:szCs w:val="22"/>
          <w:lang w:val="de-DE"/>
        </w:rPr>
        <w:t>v</w:t>
      </w:r>
      <w:r w:rsidRPr="0054107F">
        <w:rPr>
          <w:rFonts w:asciiTheme="majorHAnsi" w:hAnsiTheme="majorHAnsi"/>
          <w:sz w:val="22"/>
          <w:szCs w:val="22"/>
          <w:lang w:val="de-DE"/>
        </w:rPr>
        <w:t xml:space="preserve">ni </w:t>
      </w:r>
      <w:r w:rsidR="00605E84" w:rsidRPr="0054107F">
        <w:rPr>
          <w:rFonts w:asciiTheme="majorHAnsi" w:hAnsiTheme="majorHAnsi"/>
          <w:sz w:val="22"/>
          <w:szCs w:val="22"/>
          <w:lang w:val="de-DE"/>
        </w:rPr>
        <w:t xml:space="preserve">Konkursi. </w:t>
      </w:r>
    </w:p>
    <w:p w14:paraId="25FB1D3A" w14:textId="77777777" w:rsidR="00605E84" w:rsidRPr="0054107F" w:rsidRDefault="00605E84" w:rsidP="00754472">
      <w:pPr>
        <w:jc w:val="both"/>
        <w:rPr>
          <w:rFonts w:asciiTheme="majorHAnsi" w:hAnsiTheme="majorHAnsi"/>
          <w:sz w:val="22"/>
          <w:szCs w:val="22"/>
          <w:lang w:val="de-DE"/>
        </w:rPr>
      </w:pPr>
    </w:p>
    <w:p w14:paraId="33A5488A" w14:textId="3A50DFAE" w:rsidR="00542BC9" w:rsidRPr="0054107F" w:rsidRDefault="00605E84" w:rsidP="00754472">
      <w:pPr>
        <w:jc w:val="both"/>
        <w:rPr>
          <w:rFonts w:asciiTheme="majorHAnsi" w:hAnsiTheme="majorHAnsi"/>
          <w:sz w:val="22"/>
          <w:szCs w:val="22"/>
          <w:lang w:val="de-DE"/>
        </w:rPr>
      </w:pPr>
      <w:r w:rsidRPr="0054107F">
        <w:rPr>
          <w:rFonts w:asciiTheme="majorHAnsi" w:hAnsiTheme="majorHAnsi"/>
          <w:sz w:val="22"/>
          <w:szCs w:val="22"/>
          <w:lang w:val="de-DE"/>
        </w:rPr>
        <w:t>U protekle dvije godine jedino</w:t>
      </w:r>
      <w:r w:rsidR="00542BC9" w:rsidRPr="0054107F">
        <w:rPr>
          <w:rFonts w:asciiTheme="majorHAnsi" w:hAnsiTheme="majorHAnsi"/>
          <w:sz w:val="22"/>
          <w:szCs w:val="22"/>
          <w:lang w:val="de-DE"/>
        </w:rPr>
        <w:t xml:space="preserve"> </w:t>
      </w:r>
      <w:r w:rsidRPr="0054107F">
        <w:rPr>
          <w:rFonts w:asciiTheme="majorHAnsi" w:hAnsiTheme="majorHAnsi"/>
          <w:sz w:val="22"/>
          <w:szCs w:val="22"/>
          <w:lang w:val="de-DE"/>
        </w:rPr>
        <w:t>Komisija z</w:t>
      </w:r>
      <w:r w:rsidR="00551A24">
        <w:rPr>
          <w:rFonts w:asciiTheme="majorHAnsi" w:hAnsiTheme="majorHAnsi"/>
          <w:sz w:val="22"/>
          <w:szCs w:val="22"/>
          <w:lang w:val="de-DE"/>
        </w:rPr>
        <w:t>a vrijednosne papire F</w:t>
      </w:r>
      <w:r w:rsidRPr="0054107F">
        <w:rPr>
          <w:rFonts w:asciiTheme="majorHAnsi" w:hAnsiTheme="majorHAnsi"/>
          <w:sz w:val="22"/>
          <w:szCs w:val="22"/>
          <w:lang w:val="de-DE"/>
        </w:rPr>
        <w:t>BiH i Federalna uprava za geodetske i imovinsko-pravne poslove nisu zabilježile tužbe</w:t>
      </w:r>
      <w:r w:rsidR="00542BC9" w:rsidRPr="0054107F">
        <w:rPr>
          <w:rFonts w:asciiTheme="majorHAnsi" w:hAnsiTheme="majorHAnsi"/>
          <w:sz w:val="22"/>
          <w:szCs w:val="22"/>
          <w:lang w:val="de-DE"/>
        </w:rPr>
        <w:t xml:space="preserve"> </w:t>
      </w:r>
      <w:r w:rsidR="00440473" w:rsidRPr="0054107F">
        <w:rPr>
          <w:rFonts w:asciiTheme="majorHAnsi" w:hAnsiTheme="majorHAnsi"/>
          <w:sz w:val="22"/>
          <w:szCs w:val="22"/>
          <w:lang w:val="de-DE"/>
        </w:rPr>
        <w:t>radnika</w:t>
      </w:r>
      <w:r w:rsidR="00542BC9" w:rsidRPr="0054107F">
        <w:rPr>
          <w:rFonts w:asciiTheme="majorHAnsi" w:hAnsiTheme="majorHAnsi"/>
          <w:sz w:val="22"/>
          <w:szCs w:val="22"/>
          <w:lang w:val="de-DE"/>
        </w:rPr>
        <w:t>. Ostale institucije</w:t>
      </w:r>
      <w:r w:rsidR="005E61B0" w:rsidRPr="0054107F">
        <w:rPr>
          <w:rFonts w:asciiTheme="majorHAnsi" w:hAnsiTheme="majorHAnsi"/>
          <w:sz w:val="22"/>
          <w:szCs w:val="22"/>
          <w:lang w:val="de-DE"/>
        </w:rPr>
        <w:t xml:space="preserve">, </w:t>
      </w:r>
      <w:r w:rsidR="00440473" w:rsidRPr="0054107F">
        <w:rPr>
          <w:rFonts w:asciiTheme="majorHAnsi" w:hAnsiTheme="majorHAnsi"/>
          <w:sz w:val="22"/>
          <w:szCs w:val="22"/>
          <w:lang w:val="de-DE"/>
        </w:rPr>
        <w:t>ukupno njih 7</w:t>
      </w:r>
      <w:r w:rsidR="005E61B0" w:rsidRPr="0054107F">
        <w:rPr>
          <w:rFonts w:asciiTheme="majorHAnsi" w:hAnsiTheme="majorHAnsi"/>
          <w:sz w:val="22"/>
          <w:szCs w:val="22"/>
          <w:lang w:val="de-DE"/>
        </w:rPr>
        <w:t>,</w:t>
      </w:r>
      <w:r w:rsidR="00542BC9" w:rsidRPr="0054107F">
        <w:rPr>
          <w:rFonts w:asciiTheme="majorHAnsi" w:hAnsiTheme="majorHAnsi"/>
          <w:sz w:val="22"/>
          <w:szCs w:val="22"/>
          <w:lang w:val="de-DE"/>
        </w:rPr>
        <w:t xml:space="preserve"> bilježe veliki broj radnih sporova</w:t>
      </w:r>
      <w:r w:rsidR="00440473" w:rsidRPr="0054107F">
        <w:rPr>
          <w:rFonts w:asciiTheme="majorHAnsi" w:hAnsiTheme="majorHAnsi"/>
          <w:sz w:val="22"/>
          <w:szCs w:val="22"/>
          <w:lang w:val="de-DE"/>
        </w:rPr>
        <w:t xml:space="preserve"> u periodu 2014</w:t>
      </w:r>
      <w:r w:rsidR="00551A24">
        <w:rPr>
          <w:rFonts w:asciiTheme="majorHAnsi" w:hAnsiTheme="majorHAnsi"/>
          <w:sz w:val="22"/>
          <w:szCs w:val="22"/>
          <w:lang w:val="de-DE"/>
        </w:rPr>
        <w:t xml:space="preserve">. </w:t>
      </w:r>
      <w:r w:rsidR="00440473" w:rsidRPr="0054107F">
        <w:rPr>
          <w:rFonts w:asciiTheme="majorHAnsi" w:hAnsiTheme="majorHAnsi"/>
          <w:sz w:val="22"/>
          <w:szCs w:val="22"/>
          <w:lang w:val="de-DE"/>
        </w:rPr>
        <w:t>-</w:t>
      </w:r>
      <w:r w:rsidR="00551A24">
        <w:rPr>
          <w:rFonts w:asciiTheme="majorHAnsi" w:hAnsiTheme="majorHAnsi"/>
          <w:sz w:val="22"/>
          <w:szCs w:val="22"/>
          <w:lang w:val="de-DE"/>
        </w:rPr>
        <w:t xml:space="preserve"> </w:t>
      </w:r>
      <w:r w:rsidR="00440473" w:rsidRPr="0054107F">
        <w:rPr>
          <w:rFonts w:asciiTheme="majorHAnsi" w:hAnsiTheme="majorHAnsi"/>
          <w:sz w:val="22"/>
          <w:szCs w:val="22"/>
          <w:lang w:val="de-DE"/>
        </w:rPr>
        <w:t>2015. godina</w:t>
      </w:r>
      <w:r w:rsidR="005E61B0" w:rsidRPr="0054107F">
        <w:rPr>
          <w:rFonts w:asciiTheme="majorHAnsi" w:hAnsiTheme="majorHAnsi"/>
          <w:sz w:val="22"/>
          <w:szCs w:val="22"/>
          <w:lang w:val="de-DE"/>
        </w:rPr>
        <w:t>. U naznačenom periodu</w:t>
      </w:r>
      <w:r w:rsidR="00440473" w:rsidRPr="0054107F">
        <w:rPr>
          <w:rFonts w:asciiTheme="majorHAnsi" w:hAnsiTheme="majorHAnsi"/>
          <w:sz w:val="22"/>
          <w:szCs w:val="22"/>
          <w:lang w:val="de-DE"/>
        </w:rPr>
        <w:t xml:space="preserve"> zabilježen</w:t>
      </w:r>
      <w:r w:rsidR="005E61B0" w:rsidRPr="0054107F">
        <w:rPr>
          <w:rFonts w:asciiTheme="majorHAnsi" w:hAnsiTheme="majorHAnsi"/>
          <w:sz w:val="22"/>
          <w:szCs w:val="22"/>
          <w:lang w:val="de-DE"/>
        </w:rPr>
        <w:t>a su 1.553</w:t>
      </w:r>
      <w:r w:rsidR="00440473" w:rsidRPr="0054107F">
        <w:rPr>
          <w:rFonts w:asciiTheme="majorHAnsi" w:hAnsiTheme="majorHAnsi"/>
          <w:sz w:val="22"/>
          <w:szCs w:val="22"/>
          <w:lang w:val="de-DE"/>
        </w:rPr>
        <w:t xml:space="preserve"> </w:t>
      </w:r>
      <w:r w:rsidR="005E61B0" w:rsidRPr="0054107F">
        <w:rPr>
          <w:rFonts w:asciiTheme="majorHAnsi" w:hAnsiTheme="majorHAnsi"/>
          <w:sz w:val="22"/>
          <w:szCs w:val="22"/>
          <w:lang w:val="de-DE"/>
        </w:rPr>
        <w:t>radna spora. Prema prikupljenim podacima ukupni</w:t>
      </w:r>
      <w:r w:rsidR="00542BC9" w:rsidRPr="0054107F">
        <w:rPr>
          <w:rFonts w:asciiTheme="majorHAnsi" w:hAnsiTheme="majorHAnsi"/>
          <w:sz w:val="22"/>
          <w:szCs w:val="22"/>
          <w:lang w:val="de-DE"/>
        </w:rPr>
        <w:t xml:space="preserve"> </w:t>
      </w:r>
      <w:r w:rsidR="005E61B0" w:rsidRPr="0054107F">
        <w:rPr>
          <w:rFonts w:asciiTheme="majorHAnsi" w:hAnsiTheme="majorHAnsi"/>
          <w:sz w:val="22"/>
          <w:szCs w:val="22"/>
          <w:lang w:val="de-DE"/>
        </w:rPr>
        <w:t>novčani izdaci za 1.239 zaključenih rad</w:t>
      </w:r>
      <w:r w:rsidR="00D00F20">
        <w:rPr>
          <w:rFonts w:asciiTheme="majorHAnsi" w:hAnsiTheme="majorHAnsi"/>
          <w:sz w:val="22"/>
          <w:szCs w:val="22"/>
          <w:lang w:val="de-DE"/>
        </w:rPr>
        <w:t>nih sporova izose 10.254.210,79</w:t>
      </w:r>
      <w:r w:rsidR="005E61B0" w:rsidRPr="0054107F">
        <w:rPr>
          <w:rFonts w:asciiTheme="majorHAnsi" w:hAnsiTheme="majorHAnsi"/>
          <w:sz w:val="22"/>
          <w:szCs w:val="22"/>
          <w:lang w:val="de-DE"/>
        </w:rPr>
        <w:t>KM</w:t>
      </w:r>
      <w:r w:rsidR="00440473" w:rsidRPr="0054107F">
        <w:rPr>
          <w:rFonts w:asciiTheme="majorHAnsi" w:hAnsiTheme="majorHAnsi"/>
          <w:sz w:val="22"/>
          <w:szCs w:val="22"/>
          <w:lang w:val="de-DE"/>
        </w:rPr>
        <w:t xml:space="preserve"> </w:t>
      </w:r>
      <w:r w:rsidR="005E61B0" w:rsidRPr="0054107F">
        <w:rPr>
          <w:rFonts w:asciiTheme="majorHAnsi" w:hAnsiTheme="majorHAnsi"/>
          <w:sz w:val="22"/>
          <w:szCs w:val="22"/>
          <w:lang w:val="de-DE"/>
        </w:rPr>
        <w:t xml:space="preserve">uz napomenu da je </w:t>
      </w:r>
      <w:r w:rsidR="00603008" w:rsidRPr="0054107F">
        <w:rPr>
          <w:rFonts w:asciiTheme="majorHAnsi" w:hAnsiTheme="majorHAnsi"/>
          <w:sz w:val="22"/>
          <w:szCs w:val="22"/>
          <w:lang w:val="de-DE"/>
        </w:rPr>
        <w:t xml:space="preserve">ovaj iznos pri izvršenju znatno veći jer je </w:t>
      </w:r>
      <w:r w:rsidR="005E61B0" w:rsidRPr="0054107F">
        <w:rPr>
          <w:rFonts w:asciiTheme="majorHAnsi" w:hAnsiTheme="majorHAnsi"/>
          <w:sz w:val="22"/>
          <w:szCs w:val="22"/>
          <w:lang w:val="de-DE"/>
        </w:rPr>
        <w:t xml:space="preserve">u nekim slučajevima računat samo osnovni dug bez zateznih kamata </w:t>
      </w:r>
      <w:r w:rsidR="00603008" w:rsidRPr="0054107F">
        <w:rPr>
          <w:rFonts w:asciiTheme="majorHAnsi" w:hAnsiTheme="majorHAnsi"/>
          <w:sz w:val="22"/>
          <w:szCs w:val="22"/>
          <w:lang w:val="de-DE"/>
        </w:rPr>
        <w:t>i</w:t>
      </w:r>
      <w:r w:rsidR="005E61B0" w:rsidRPr="0054107F">
        <w:rPr>
          <w:rFonts w:asciiTheme="majorHAnsi" w:hAnsiTheme="majorHAnsi"/>
          <w:sz w:val="22"/>
          <w:szCs w:val="22"/>
          <w:lang w:val="de-DE"/>
        </w:rPr>
        <w:t xml:space="preserve"> troškova parničnog postupka</w:t>
      </w:r>
      <w:r w:rsidR="00603008" w:rsidRPr="0054107F">
        <w:rPr>
          <w:rFonts w:asciiTheme="majorHAnsi" w:hAnsiTheme="majorHAnsi"/>
          <w:sz w:val="22"/>
          <w:szCs w:val="22"/>
          <w:lang w:val="de-DE"/>
        </w:rPr>
        <w:t xml:space="preserve">, te </w:t>
      </w:r>
      <w:r w:rsidR="005E61B0" w:rsidRPr="0054107F">
        <w:rPr>
          <w:rFonts w:asciiTheme="majorHAnsi" w:hAnsiTheme="majorHAnsi"/>
          <w:sz w:val="22"/>
          <w:szCs w:val="22"/>
          <w:lang w:val="de-DE"/>
        </w:rPr>
        <w:t>troškova izvršenja.</w:t>
      </w:r>
    </w:p>
    <w:p w14:paraId="27FF97DC" w14:textId="77777777" w:rsidR="005E61B0" w:rsidRPr="0054107F" w:rsidRDefault="005E61B0" w:rsidP="00754472">
      <w:pPr>
        <w:jc w:val="both"/>
        <w:rPr>
          <w:rFonts w:asciiTheme="majorHAnsi" w:hAnsiTheme="majorHAnsi"/>
          <w:sz w:val="22"/>
          <w:szCs w:val="22"/>
          <w:lang w:val="de-DE"/>
        </w:rPr>
      </w:pPr>
    </w:p>
    <w:p w14:paraId="5E63BF9F" w14:textId="4BA1F299" w:rsidR="00542BC9" w:rsidRDefault="00542BC9" w:rsidP="00754472">
      <w:pPr>
        <w:jc w:val="both"/>
        <w:rPr>
          <w:rFonts w:asciiTheme="majorHAnsi" w:hAnsiTheme="majorHAnsi"/>
          <w:sz w:val="22"/>
          <w:szCs w:val="22"/>
          <w:lang w:val="de-DE"/>
        </w:rPr>
      </w:pPr>
      <w:r w:rsidRPr="0054107F">
        <w:rPr>
          <w:rFonts w:asciiTheme="majorHAnsi" w:hAnsiTheme="majorHAnsi"/>
          <w:sz w:val="22"/>
          <w:szCs w:val="22"/>
          <w:lang w:val="de-DE"/>
        </w:rPr>
        <w:lastRenderedPageBreak/>
        <w:t>Poreska uprava FBiH</w:t>
      </w:r>
      <w:r w:rsidR="00440473" w:rsidRPr="0054107F">
        <w:rPr>
          <w:rFonts w:asciiTheme="majorHAnsi" w:hAnsiTheme="majorHAnsi"/>
          <w:sz w:val="22"/>
          <w:szCs w:val="22"/>
          <w:lang w:val="de-DE"/>
        </w:rPr>
        <w:t xml:space="preserve"> je u posmatranom vremenskom period</w:t>
      </w:r>
      <w:r w:rsidR="00551A24">
        <w:rPr>
          <w:rFonts w:asciiTheme="majorHAnsi" w:hAnsiTheme="majorHAnsi"/>
          <w:sz w:val="22"/>
          <w:szCs w:val="22"/>
          <w:lang w:val="de-DE"/>
        </w:rPr>
        <w:t>u</w:t>
      </w:r>
      <w:r w:rsidR="00440473" w:rsidRPr="0054107F">
        <w:rPr>
          <w:rFonts w:asciiTheme="majorHAnsi" w:hAnsiTheme="majorHAnsi"/>
          <w:sz w:val="22"/>
          <w:szCs w:val="22"/>
          <w:lang w:val="de-DE"/>
        </w:rPr>
        <w:t xml:space="preserve"> imala daleko najviše radnih sporova, ukupno 1</w:t>
      </w:r>
      <w:r w:rsidR="00551A24">
        <w:rPr>
          <w:rFonts w:asciiTheme="majorHAnsi" w:hAnsiTheme="majorHAnsi"/>
          <w:sz w:val="22"/>
          <w:szCs w:val="22"/>
          <w:lang w:val="de-DE"/>
        </w:rPr>
        <w:t>.</w:t>
      </w:r>
      <w:r w:rsidR="00440473" w:rsidRPr="0054107F">
        <w:rPr>
          <w:rFonts w:asciiTheme="majorHAnsi" w:hAnsiTheme="majorHAnsi"/>
          <w:sz w:val="22"/>
          <w:szCs w:val="22"/>
          <w:lang w:val="de-DE"/>
        </w:rPr>
        <w:t>397, a</w:t>
      </w:r>
      <w:r w:rsidRPr="0054107F">
        <w:rPr>
          <w:rFonts w:asciiTheme="majorHAnsi" w:hAnsiTheme="majorHAnsi"/>
          <w:sz w:val="22"/>
          <w:szCs w:val="22"/>
          <w:lang w:val="de-DE"/>
        </w:rPr>
        <w:t xml:space="preserve"> </w:t>
      </w:r>
      <w:r w:rsidR="00440473" w:rsidRPr="0054107F">
        <w:rPr>
          <w:rFonts w:asciiTheme="majorHAnsi" w:hAnsiTheme="majorHAnsi"/>
          <w:sz w:val="22"/>
          <w:szCs w:val="22"/>
          <w:lang w:val="de-DE"/>
        </w:rPr>
        <w:t>ukupna novčana sredstva ko</w:t>
      </w:r>
      <w:r w:rsidR="00551A24">
        <w:rPr>
          <w:rFonts w:asciiTheme="majorHAnsi" w:hAnsiTheme="majorHAnsi"/>
          <w:sz w:val="22"/>
          <w:szCs w:val="22"/>
          <w:lang w:val="de-DE"/>
        </w:rPr>
        <w:t>je je ova institucija morala iz</w:t>
      </w:r>
      <w:r w:rsidR="00440473" w:rsidRPr="0054107F">
        <w:rPr>
          <w:rFonts w:asciiTheme="majorHAnsi" w:hAnsiTheme="majorHAnsi"/>
          <w:sz w:val="22"/>
          <w:szCs w:val="22"/>
          <w:lang w:val="de-DE"/>
        </w:rPr>
        <w:t>d</w:t>
      </w:r>
      <w:r w:rsidR="00551A24">
        <w:rPr>
          <w:rFonts w:asciiTheme="majorHAnsi" w:hAnsiTheme="majorHAnsi"/>
          <w:sz w:val="22"/>
          <w:szCs w:val="22"/>
          <w:lang w:val="de-DE"/>
        </w:rPr>
        <w:t>v</w:t>
      </w:r>
      <w:r w:rsidR="00440473" w:rsidRPr="0054107F">
        <w:rPr>
          <w:rFonts w:asciiTheme="majorHAnsi" w:hAnsiTheme="majorHAnsi"/>
          <w:sz w:val="22"/>
          <w:szCs w:val="22"/>
          <w:lang w:val="de-DE"/>
        </w:rPr>
        <w:t>ojiti u svrhu naknade štete u protekle</w:t>
      </w:r>
      <w:r w:rsidRPr="0054107F">
        <w:rPr>
          <w:rFonts w:asciiTheme="majorHAnsi" w:hAnsiTheme="majorHAnsi"/>
          <w:sz w:val="22"/>
          <w:szCs w:val="22"/>
          <w:lang w:val="de-DE"/>
        </w:rPr>
        <w:t xml:space="preserve"> dvije godine je </w:t>
      </w:r>
      <w:r w:rsidR="00440473" w:rsidRPr="0054107F">
        <w:rPr>
          <w:rFonts w:asciiTheme="majorHAnsi" w:hAnsiTheme="majorHAnsi"/>
          <w:sz w:val="22"/>
          <w:szCs w:val="22"/>
          <w:lang w:val="de-DE"/>
        </w:rPr>
        <w:t>9.932.777,45KM, uz napomenu da je 184 spora jo</w:t>
      </w:r>
      <w:r w:rsidR="00D00F20">
        <w:rPr>
          <w:rFonts w:asciiTheme="majorHAnsi" w:hAnsiTheme="majorHAnsi"/>
          <w:sz w:val="22"/>
          <w:szCs w:val="22"/>
          <w:lang w:val="de-DE"/>
        </w:rPr>
        <w:t>š</w:t>
      </w:r>
      <w:r w:rsidR="00440473" w:rsidRPr="0054107F">
        <w:rPr>
          <w:rFonts w:asciiTheme="majorHAnsi" w:hAnsiTheme="majorHAnsi"/>
          <w:sz w:val="22"/>
          <w:szCs w:val="22"/>
          <w:lang w:val="de-DE"/>
        </w:rPr>
        <w:t xml:space="preserve"> uvijek u toku.</w:t>
      </w:r>
      <w:r w:rsidRPr="0054107F">
        <w:rPr>
          <w:rFonts w:asciiTheme="majorHAnsi" w:hAnsiTheme="majorHAnsi"/>
          <w:sz w:val="22"/>
          <w:szCs w:val="22"/>
          <w:lang w:val="de-DE"/>
        </w:rPr>
        <w:t xml:space="preserve"> </w:t>
      </w:r>
    </w:p>
    <w:p w14:paraId="2F574ACC" w14:textId="77777777" w:rsidR="00F9072C" w:rsidRDefault="00F9072C" w:rsidP="00754472">
      <w:pPr>
        <w:jc w:val="both"/>
        <w:rPr>
          <w:rFonts w:asciiTheme="majorHAnsi" w:hAnsiTheme="majorHAnsi"/>
          <w:sz w:val="22"/>
          <w:szCs w:val="22"/>
          <w:lang w:val="de-DE"/>
        </w:rPr>
      </w:pPr>
    </w:p>
    <w:p w14:paraId="3C1316D5" w14:textId="77777777" w:rsidR="00F9072C" w:rsidRPr="0054107F" w:rsidRDefault="00F9072C" w:rsidP="00F9072C">
      <w:pPr>
        <w:jc w:val="both"/>
        <w:rPr>
          <w:rFonts w:asciiTheme="majorHAnsi" w:hAnsiTheme="majorHAnsi"/>
          <w:color w:val="000000" w:themeColor="text1"/>
          <w:sz w:val="22"/>
          <w:szCs w:val="22"/>
          <w:lang w:val="de-DE"/>
        </w:rPr>
      </w:pPr>
      <w:r w:rsidRPr="0054107F">
        <w:rPr>
          <w:rFonts w:asciiTheme="majorHAnsi" w:hAnsiTheme="majorHAnsi"/>
          <w:color w:val="000000" w:themeColor="text1"/>
          <w:sz w:val="22"/>
          <w:szCs w:val="22"/>
          <w:lang w:val="de-DE"/>
        </w:rPr>
        <w:t>U referentnom periodu na uzorku od 11 institucija RS, 473 trećih lica podnijelo je tužbu protiv monitorisanih subjekata, a oko 25 radnika odlučilo se na ovaj vid pravne zaštite. Udio radničkih tužbi je svega 5,2%. Najveći dijelom (41,6%) tužbe su izjavljenje protiv Ministarstva za prostorno uređenje, građevina</w:t>
      </w:r>
      <w:r>
        <w:rPr>
          <w:rFonts w:asciiTheme="majorHAnsi" w:hAnsiTheme="majorHAnsi"/>
          <w:color w:val="000000" w:themeColor="text1"/>
          <w:sz w:val="22"/>
          <w:szCs w:val="22"/>
          <w:lang w:val="de-DE"/>
        </w:rPr>
        <w:t>r</w:t>
      </w:r>
      <w:r w:rsidRPr="0054107F">
        <w:rPr>
          <w:rFonts w:asciiTheme="majorHAnsi" w:hAnsiTheme="majorHAnsi"/>
          <w:color w:val="000000" w:themeColor="text1"/>
          <w:sz w:val="22"/>
          <w:szCs w:val="22"/>
          <w:lang w:val="de-DE"/>
        </w:rPr>
        <w:t>stvo i ekologiju (197), a prema dostupnim podacima po instituciji je bilo 38,7 tužbi trećih lica u periodu od dvije godine. 15, 5% tužbi imalo je negativan ishod po institucije.</w:t>
      </w:r>
    </w:p>
    <w:p w14:paraId="058836F9" w14:textId="77777777" w:rsidR="007413CB" w:rsidRPr="0054107F" w:rsidRDefault="007413CB" w:rsidP="00754472">
      <w:pPr>
        <w:jc w:val="both"/>
        <w:rPr>
          <w:rFonts w:asciiTheme="majorHAnsi" w:hAnsiTheme="majorHAnsi"/>
          <w:sz w:val="22"/>
          <w:szCs w:val="22"/>
          <w:lang w:val="de-DE"/>
        </w:rPr>
      </w:pPr>
    </w:p>
    <w:p w14:paraId="13F7E46B" w14:textId="77777777" w:rsidR="007413CB" w:rsidRPr="0054107F" w:rsidRDefault="007413CB" w:rsidP="007413CB">
      <w:pPr>
        <w:jc w:val="both"/>
        <w:rPr>
          <w:rFonts w:asciiTheme="majorHAnsi" w:hAnsiTheme="majorHAnsi"/>
          <w:i/>
          <w:sz w:val="22"/>
          <w:szCs w:val="22"/>
          <w:lang w:val="bs-Latn-BA"/>
        </w:rPr>
      </w:pPr>
      <w:r w:rsidRPr="0054107F">
        <w:rPr>
          <w:rFonts w:asciiTheme="majorHAnsi" w:hAnsiTheme="majorHAnsi"/>
          <w:b/>
          <w:sz w:val="22"/>
          <w:szCs w:val="22"/>
          <w:lang w:val="bs-Latn-BA"/>
        </w:rPr>
        <w:t>Zaključak</w:t>
      </w:r>
      <w:r w:rsidRPr="0054107F">
        <w:rPr>
          <w:rFonts w:asciiTheme="majorHAnsi" w:hAnsiTheme="majorHAnsi"/>
          <w:i/>
          <w:sz w:val="22"/>
          <w:szCs w:val="22"/>
          <w:lang w:val="bs-Latn-BA"/>
        </w:rPr>
        <w:t>: Ovdje su podaci nešto ujednačenije prirode, ukoliko se posmatraju po različitim nivoima vlasti, a na federalnom nivou je evidentno velik broj tužbi uposlenika. Veliki broj tužbi trećih lica ukazuje i na nezadovoljstvo građana, tj. korisnika usluga radom javne uprave.</w:t>
      </w:r>
    </w:p>
    <w:p w14:paraId="2802960B" w14:textId="77777777" w:rsidR="007413CB" w:rsidRPr="0054107F" w:rsidRDefault="007413CB" w:rsidP="007413CB">
      <w:pPr>
        <w:jc w:val="both"/>
        <w:rPr>
          <w:rFonts w:asciiTheme="majorHAnsi" w:hAnsiTheme="majorHAnsi"/>
          <w:i/>
          <w:sz w:val="22"/>
          <w:szCs w:val="22"/>
          <w:lang w:val="bs-Latn-BA"/>
        </w:rPr>
      </w:pPr>
    </w:p>
    <w:p w14:paraId="0642EE2E" w14:textId="77777777" w:rsidR="007413CB" w:rsidRPr="0054107F" w:rsidRDefault="007413CB" w:rsidP="007413CB">
      <w:pPr>
        <w:jc w:val="both"/>
        <w:rPr>
          <w:rFonts w:asciiTheme="majorHAnsi" w:hAnsiTheme="majorHAnsi"/>
          <w:i/>
          <w:sz w:val="22"/>
          <w:szCs w:val="22"/>
          <w:lang w:val="bs-Latn-BA"/>
        </w:rPr>
      </w:pPr>
      <w:r w:rsidRPr="0054107F">
        <w:rPr>
          <w:rFonts w:asciiTheme="majorHAnsi" w:hAnsiTheme="majorHAnsi"/>
          <w:b/>
          <w:sz w:val="22"/>
          <w:szCs w:val="22"/>
          <w:lang w:val="bs-Latn-BA"/>
        </w:rPr>
        <w:t>Preporuka</w:t>
      </w:r>
      <w:r w:rsidRPr="0054107F">
        <w:rPr>
          <w:rFonts w:asciiTheme="majorHAnsi" w:hAnsiTheme="majorHAnsi"/>
          <w:i/>
          <w:sz w:val="22"/>
          <w:szCs w:val="22"/>
          <w:lang w:val="bs-Latn-BA"/>
        </w:rPr>
        <w:t xml:space="preserve">: Analizirati razloge izjavljivanja tužbi i osmisliti plan mjera i aktivnosti kojima bi se smanjio broj sporova za koji se traži sudska zaštita.  </w:t>
      </w:r>
    </w:p>
    <w:p w14:paraId="55B19E7C" w14:textId="77777777" w:rsidR="007413CB" w:rsidRPr="0054107F" w:rsidRDefault="007413CB" w:rsidP="00754472">
      <w:pPr>
        <w:jc w:val="both"/>
        <w:rPr>
          <w:rFonts w:asciiTheme="majorHAnsi" w:hAnsiTheme="majorHAnsi"/>
          <w:sz w:val="22"/>
          <w:szCs w:val="22"/>
          <w:lang w:val="bs-Latn-BA"/>
        </w:rPr>
      </w:pPr>
    </w:p>
    <w:p w14:paraId="68028B9A" w14:textId="77777777" w:rsidR="00542BC9" w:rsidRPr="0054107F" w:rsidRDefault="00542BC9" w:rsidP="00754472">
      <w:pPr>
        <w:pStyle w:val="ListParagraph"/>
        <w:jc w:val="both"/>
        <w:rPr>
          <w:rFonts w:asciiTheme="majorHAnsi" w:hAnsiTheme="majorHAnsi"/>
          <w:sz w:val="22"/>
          <w:szCs w:val="22"/>
          <w:lang w:val="bs-Latn-BA"/>
        </w:rPr>
      </w:pPr>
    </w:p>
    <w:p w14:paraId="0FBBA1E3" w14:textId="77777777" w:rsidR="00C36F17"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Pristup informacijama</w:t>
      </w:r>
    </w:p>
    <w:p w14:paraId="2C3E4580" w14:textId="77777777" w:rsidR="005277D2" w:rsidRPr="0054107F" w:rsidRDefault="005277D2" w:rsidP="00754472">
      <w:pPr>
        <w:pStyle w:val="ListParagraph"/>
        <w:jc w:val="both"/>
        <w:rPr>
          <w:rFonts w:asciiTheme="majorHAnsi" w:hAnsiTheme="majorHAnsi"/>
          <w:sz w:val="22"/>
          <w:szCs w:val="22"/>
        </w:rPr>
      </w:pPr>
    </w:p>
    <w:p w14:paraId="46F8A0BE" w14:textId="159CF2E6" w:rsidR="007413CB" w:rsidRPr="0054107F" w:rsidRDefault="007413CB" w:rsidP="007413CB">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Prema dostupnim podacima iz monitoringa, na državnom nivou na uzorku od 12 institucija u periodu 2014</w:t>
      </w:r>
      <w:r w:rsidR="001B5B80">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 xml:space="preserve">-2015. godine zabilježeno je svega 217 zahtjeva za pristup informacijama. Ili u prosjeku 7,4 zahtjeva po instituciji na godišnjem nivou. To je znatno manji broj obrađenih zahtjeva u odnosu na entitetski nivo vlasti, što upućuje na: </w:t>
      </w:r>
    </w:p>
    <w:p w14:paraId="560B9AA2" w14:textId="77777777" w:rsidR="007413CB" w:rsidRPr="0054107F" w:rsidRDefault="007413CB" w:rsidP="007413CB">
      <w:pPr>
        <w:jc w:val="both"/>
        <w:rPr>
          <w:rFonts w:asciiTheme="majorHAnsi" w:hAnsiTheme="majorHAnsi"/>
          <w:color w:val="000000" w:themeColor="text1"/>
          <w:sz w:val="22"/>
          <w:szCs w:val="22"/>
          <w:lang w:val="bs-Latn-BA"/>
        </w:rPr>
      </w:pPr>
    </w:p>
    <w:p w14:paraId="432DF465" w14:textId="6F3F4FF1" w:rsidR="007413CB" w:rsidRPr="0054107F" w:rsidRDefault="007413CB" w:rsidP="007413CB">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1) na unapređenu praksu proaktivne transparentnosti na d</w:t>
      </w:r>
      <w:r w:rsidR="001B5B80">
        <w:rPr>
          <w:rFonts w:asciiTheme="majorHAnsi" w:hAnsiTheme="majorHAnsi"/>
          <w:color w:val="000000" w:themeColor="text1"/>
          <w:sz w:val="22"/>
          <w:szCs w:val="22"/>
          <w:lang w:val="bs-Latn-BA"/>
        </w:rPr>
        <w:t>rž</w:t>
      </w:r>
      <w:r w:rsidRPr="0054107F">
        <w:rPr>
          <w:rFonts w:asciiTheme="majorHAnsi" w:hAnsiTheme="majorHAnsi"/>
          <w:color w:val="000000" w:themeColor="text1"/>
          <w:sz w:val="22"/>
          <w:szCs w:val="22"/>
          <w:lang w:val="bs-Latn-BA"/>
        </w:rPr>
        <w:t>avnom n</w:t>
      </w:r>
      <w:r w:rsidR="001B5B80">
        <w:rPr>
          <w:rFonts w:asciiTheme="majorHAnsi" w:hAnsiTheme="majorHAnsi"/>
          <w:color w:val="000000" w:themeColor="text1"/>
          <w:sz w:val="22"/>
          <w:szCs w:val="22"/>
          <w:lang w:val="bs-Latn-BA"/>
        </w:rPr>
        <w:t>i</w:t>
      </w:r>
      <w:r w:rsidRPr="0054107F">
        <w:rPr>
          <w:rFonts w:asciiTheme="majorHAnsi" w:hAnsiTheme="majorHAnsi"/>
          <w:color w:val="000000" w:themeColor="text1"/>
          <w:sz w:val="22"/>
          <w:szCs w:val="22"/>
          <w:lang w:val="bs-Latn-BA"/>
        </w:rPr>
        <w:t>v</w:t>
      </w:r>
      <w:r w:rsidR="001B5B80">
        <w:rPr>
          <w:rFonts w:asciiTheme="majorHAnsi" w:hAnsiTheme="majorHAnsi"/>
          <w:color w:val="000000" w:themeColor="text1"/>
          <w:sz w:val="22"/>
          <w:szCs w:val="22"/>
          <w:lang w:val="bs-Latn-BA"/>
        </w:rPr>
        <w:t>o</w:t>
      </w:r>
      <w:r w:rsidRPr="0054107F">
        <w:rPr>
          <w:rFonts w:asciiTheme="majorHAnsi" w:hAnsiTheme="majorHAnsi"/>
          <w:color w:val="000000" w:themeColor="text1"/>
          <w:sz w:val="22"/>
          <w:szCs w:val="22"/>
          <w:lang w:val="bs-Latn-BA"/>
        </w:rPr>
        <w:t>u</w:t>
      </w:r>
      <w:r w:rsidR="0047677B">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 xml:space="preserve">ili </w:t>
      </w:r>
    </w:p>
    <w:p w14:paraId="2C0ECCAC" w14:textId="11487698" w:rsidR="007413CB" w:rsidRPr="0054107F" w:rsidRDefault="007413CB" w:rsidP="007413CB">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2) slabije intere</w:t>
      </w:r>
      <w:r w:rsidR="00A06F99">
        <w:rPr>
          <w:rFonts w:asciiTheme="majorHAnsi" w:hAnsiTheme="majorHAnsi"/>
          <w:color w:val="000000" w:themeColor="text1"/>
          <w:sz w:val="22"/>
          <w:szCs w:val="22"/>
          <w:lang w:val="bs-Latn-BA"/>
        </w:rPr>
        <w:t>sovanje građana za informacije</w:t>
      </w:r>
      <w:r w:rsidRPr="0054107F">
        <w:rPr>
          <w:rFonts w:asciiTheme="majorHAnsi" w:hAnsiTheme="majorHAnsi"/>
          <w:color w:val="000000" w:themeColor="text1"/>
          <w:sz w:val="22"/>
          <w:szCs w:val="22"/>
          <w:lang w:val="bs-Latn-BA"/>
        </w:rPr>
        <w:t xml:space="preserve"> koje su pod kontrolom državnih institucija. </w:t>
      </w:r>
    </w:p>
    <w:p w14:paraId="4ECEAA91" w14:textId="77777777" w:rsidR="007413CB" w:rsidRPr="0054107F" w:rsidRDefault="007413CB" w:rsidP="007413CB">
      <w:pPr>
        <w:jc w:val="both"/>
        <w:rPr>
          <w:rFonts w:asciiTheme="majorHAnsi" w:hAnsiTheme="majorHAnsi"/>
          <w:color w:val="000000" w:themeColor="text1"/>
          <w:sz w:val="22"/>
          <w:szCs w:val="22"/>
          <w:lang w:val="bs-Latn-BA"/>
        </w:rPr>
      </w:pPr>
    </w:p>
    <w:p w14:paraId="69724C79" w14:textId="0AEEE36E" w:rsidR="007413CB" w:rsidRPr="0054107F" w:rsidRDefault="007413CB" w:rsidP="007413CB">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 xml:space="preserve">U samo 4 institucije nije predviđeno mjesto službenika za informisanje, a 26% zahtjeva za </w:t>
      </w:r>
      <w:r w:rsidR="00A06F99">
        <w:rPr>
          <w:rFonts w:asciiTheme="majorHAnsi" w:hAnsiTheme="majorHAnsi"/>
          <w:color w:val="000000" w:themeColor="text1"/>
          <w:sz w:val="22"/>
          <w:szCs w:val="22"/>
          <w:lang w:val="bs-Latn-BA"/>
        </w:rPr>
        <w:t>pristup informacijama je</w:t>
      </w:r>
      <w:r w:rsidRPr="0054107F">
        <w:rPr>
          <w:rFonts w:asciiTheme="majorHAnsi" w:hAnsiTheme="majorHAnsi"/>
          <w:color w:val="000000" w:themeColor="text1"/>
          <w:sz w:val="22"/>
          <w:szCs w:val="22"/>
          <w:lang w:val="bs-Latn-BA"/>
        </w:rPr>
        <w:t xml:space="preserve"> odbijen</w:t>
      </w:r>
      <w:r w:rsidR="00A06F99">
        <w:rPr>
          <w:rFonts w:asciiTheme="majorHAnsi" w:hAnsiTheme="majorHAnsi"/>
          <w:color w:val="000000" w:themeColor="text1"/>
          <w:sz w:val="22"/>
          <w:szCs w:val="22"/>
          <w:lang w:val="bs-Latn-BA"/>
        </w:rPr>
        <w:t>o</w:t>
      </w:r>
      <w:r w:rsidRPr="0054107F">
        <w:rPr>
          <w:rFonts w:asciiTheme="majorHAnsi" w:hAnsiTheme="majorHAnsi"/>
          <w:color w:val="000000" w:themeColor="text1"/>
          <w:sz w:val="22"/>
          <w:szCs w:val="22"/>
          <w:lang w:val="bs-Latn-BA"/>
        </w:rPr>
        <w:t>. Ali ako izuzmemo Ministarstvo odbrane, koje ima specifične nadležnost</w:t>
      </w:r>
      <w:r w:rsidR="000C432C" w:rsidRPr="0054107F">
        <w:rPr>
          <w:rFonts w:asciiTheme="majorHAnsi" w:hAnsiTheme="majorHAnsi"/>
          <w:color w:val="000000" w:themeColor="text1"/>
          <w:sz w:val="22"/>
          <w:szCs w:val="22"/>
          <w:lang w:val="bs-Latn-BA"/>
        </w:rPr>
        <w:t>i, a i</w:t>
      </w:r>
      <w:r w:rsidR="00A06F99">
        <w:rPr>
          <w:rFonts w:asciiTheme="majorHAnsi" w:hAnsiTheme="majorHAnsi"/>
          <w:color w:val="000000" w:themeColor="text1"/>
          <w:sz w:val="22"/>
          <w:szCs w:val="22"/>
          <w:lang w:val="bs-Latn-BA"/>
        </w:rPr>
        <w:t xml:space="preserve"> Zakonom</w:t>
      </w:r>
      <w:r w:rsidRPr="0054107F">
        <w:rPr>
          <w:rFonts w:asciiTheme="majorHAnsi" w:hAnsiTheme="majorHAnsi"/>
          <w:color w:val="000000" w:themeColor="text1"/>
          <w:sz w:val="22"/>
          <w:szCs w:val="22"/>
          <w:lang w:val="bs-Latn-BA"/>
        </w:rPr>
        <w:t xml:space="preserve"> o slobodi prist</w:t>
      </w:r>
      <w:r w:rsidR="000C432C" w:rsidRPr="0054107F">
        <w:rPr>
          <w:rFonts w:asciiTheme="majorHAnsi" w:hAnsiTheme="majorHAnsi"/>
          <w:color w:val="000000" w:themeColor="text1"/>
          <w:sz w:val="22"/>
          <w:szCs w:val="22"/>
          <w:lang w:val="bs-Latn-BA"/>
        </w:rPr>
        <w:t xml:space="preserve">upa informacijama BiH zaštita interesa odbrane i sigurnosti </w:t>
      </w:r>
      <w:r w:rsidRPr="0054107F">
        <w:rPr>
          <w:rFonts w:asciiTheme="majorHAnsi" w:hAnsiTheme="majorHAnsi"/>
          <w:color w:val="000000" w:themeColor="text1"/>
          <w:sz w:val="22"/>
          <w:szCs w:val="22"/>
          <w:lang w:val="bs-Latn-BA"/>
        </w:rPr>
        <w:t>predviđen</w:t>
      </w:r>
      <w:r w:rsidR="000C432C" w:rsidRPr="0054107F">
        <w:rPr>
          <w:rFonts w:asciiTheme="majorHAnsi" w:hAnsiTheme="majorHAnsi"/>
          <w:color w:val="000000" w:themeColor="text1"/>
          <w:sz w:val="22"/>
          <w:szCs w:val="22"/>
          <w:lang w:val="bs-Latn-BA"/>
        </w:rPr>
        <w:t>a</w:t>
      </w:r>
      <w:r w:rsidRPr="0054107F">
        <w:rPr>
          <w:rFonts w:asciiTheme="majorHAnsi" w:hAnsiTheme="majorHAnsi"/>
          <w:color w:val="000000" w:themeColor="text1"/>
          <w:sz w:val="22"/>
          <w:szCs w:val="22"/>
          <w:lang w:val="bs-Latn-BA"/>
        </w:rPr>
        <w:t xml:space="preserve"> je </w:t>
      </w:r>
      <w:r w:rsidR="000C432C" w:rsidRPr="0054107F">
        <w:rPr>
          <w:rFonts w:asciiTheme="majorHAnsi" w:hAnsiTheme="majorHAnsi"/>
          <w:color w:val="000000" w:themeColor="text1"/>
          <w:sz w:val="22"/>
          <w:szCs w:val="22"/>
          <w:lang w:val="bs-Latn-BA"/>
        </w:rPr>
        <w:t>kao jedan od mogu</w:t>
      </w:r>
      <w:r w:rsidR="009B4EED" w:rsidRPr="0054107F">
        <w:rPr>
          <w:rFonts w:asciiTheme="majorHAnsi" w:hAnsiTheme="majorHAnsi"/>
          <w:color w:val="000000" w:themeColor="text1"/>
          <w:sz w:val="22"/>
          <w:szCs w:val="22"/>
          <w:lang w:val="bs-Latn-BA"/>
        </w:rPr>
        <w:t>ćih izuzetaka</w:t>
      </w:r>
      <w:r w:rsidRPr="0054107F">
        <w:rPr>
          <w:rFonts w:asciiTheme="majorHAnsi" w:hAnsiTheme="majorHAnsi"/>
          <w:color w:val="000000" w:themeColor="text1"/>
          <w:sz w:val="22"/>
          <w:szCs w:val="22"/>
          <w:lang w:val="bs-Latn-BA"/>
        </w:rPr>
        <w:t>, na ostalom uzorku procenat odbijenih zahtjeva za pristup informacijama sličan je enitetskim nalazima, tj. iznosi 2,4%. Nije bilo niti preporuka iz institucije Ombudsmana, što je još jedna razlika u odnosu na entitetski nivo. Samo su iz Ministarstva odbrane tražili tumačenje određenih pitanja u vezi sa primjenom zakona.  Struktura lica koja traže informacije je ujednačena, posmatrano da li su podnosioci zahtjeva pravna ili fizička lica, a nijedna institucija n</w:t>
      </w:r>
      <w:r w:rsidR="009B4EED" w:rsidRPr="0054107F">
        <w:rPr>
          <w:rFonts w:asciiTheme="majorHAnsi" w:hAnsiTheme="majorHAnsi"/>
          <w:color w:val="000000" w:themeColor="text1"/>
          <w:sz w:val="22"/>
          <w:szCs w:val="22"/>
          <w:lang w:val="bs-Latn-BA"/>
        </w:rPr>
        <w:t>e odskače sa značajno većim</w:t>
      </w:r>
      <w:r w:rsidRPr="0054107F">
        <w:rPr>
          <w:rFonts w:asciiTheme="majorHAnsi" w:hAnsiTheme="majorHAnsi"/>
          <w:color w:val="000000" w:themeColor="text1"/>
          <w:sz w:val="22"/>
          <w:szCs w:val="22"/>
          <w:lang w:val="bs-Latn-BA"/>
        </w:rPr>
        <w:t xml:space="preserve"> brojem pristiglih zahtjeva.   </w:t>
      </w:r>
    </w:p>
    <w:p w14:paraId="60ECA8F4" w14:textId="77777777" w:rsidR="007413CB" w:rsidRDefault="007413CB" w:rsidP="00754472">
      <w:pPr>
        <w:jc w:val="both"/>
        <w:rPr>
          <w:rFonts w:asciiTheme="majorHAnsi" w:hAnsiTheme="majorHAnsi"/>
          <w:color w:val="000000" w:themeColor="text1"/>
          <w:sz w:val="22"/>
          <w:szCs w:val="22"/>
          <w:lang w:val="bs-Latn-BA"/>
        </w:rPr>
      </w:pPr>
    </w:p>
    <w:p w14:paraId="44CB2003" w14:textId="19131B9B" w:rsidR="004418A3" w:rsidRPr="004418A3" w:rsidRDefault="004418A3" w:rsidP="004418A3">
      <w:pPr>
        <w:jc w:val="both"/>
        <w:rPr>
          <w:rFonts w:asciiTheme="majorHAnsi" w:hAnsiTheme="majorHAnsi"/>
          <w:color w:val="000000" w:themeColor="text1"/>
          <w:sz w:val="22"/>
          <w:szCs w:val="22"/>
          <w:lang w:val="bs-Latn-BA"/>
        </w:rPr>
      </w:pPr>
      <w:r>
        <w:rPr>
          <w:rFonts w:asciiTheme="majorHAnsi" w:hAnsiTheme="majorHAnsi"/>
          <w:color w:val="000000" w:themeColor="text1"/>
          <w:sz w:val="22"/>
          <w:szCs w:val="22"/>
          <w:lang w:val="bs-Latn-BA"/>
        </w:rPr>
        <w:t xml:space="preserve">Na federalnom nivou vlasti u BiH </w:t>
      </w:r>
      <w:r w:rsidRPr="004418A3">
        <w:rPr>
          <w:rFonts w:asciiTheme="majorHAnsi" w:hAnsiTheme="majorHAnsi"/>
          <w:color w:val="000000" w:themeColor="text1"/>
          <w:sz w:val="22"/>
          <w:szCs w:val="22"/>
          <w:lang w:val="bs-Latn-BA"/>
        </w:rPr>
        <w:t>utvrđen</w:t>
      </w:r>
      <w:r>
        <w:rPr>
          <w:rFonts w:asciiTheme="majorHAnsi" w:hAnsiTheme="majorHAnsi"/>
          <w:color w:val="000000" w:themeColor="text1"/>
          <w:sz w:val="22"/>
          <w:szCs w:val="22"/>
          <w:lang w:val="bs-Latn-BA"/>
        </w:rPr>
        <w:t xml:space="preserve"> je</w:t>
      </w:r>
      <w:r w:rsidRPr="004418A3">
        <w:rPr>
          <w:rFonts w:asciiTheme="majorHAnsi" w:hAnsiTheme="majorHAnsi"/>
          <w:color w:val="000000" w:themeColor="text1"/>
          <w:sz w:val="22"/>
          <w:szCs w:val="22"/>
          <w:lang w:val="bs-Latn-BA"/>
        </w:rPr>
        <w:t xml:space="preserve"> nešto veći broj zahjeva </w:t>
      </w:r>
      <w:r>
        <w:rPr>
          <w:rFonts w:asciiTheme="majorHAnsi" w:hAnsiTheme="majorHAnsi"/>
          <w:color w:val="000000" w:themeColor="text1"/>
          <w:sz w:val="22"/>
          <w:szCs w:val="22"/>
          <w:lang w:val="bs-Latn-BA"/>
        </w:rPr>
        <w:t>za pristup informacijama. N</w:t>
      </w:r>
      <w:r w:rsidRPr="004418A3">
        <w:rPr>
          <w:rFonts w:asciiTheme="majorHAnsi" w:hAnsiTheme="majorHAnsi"/>
          <w:color w:val="000000" w:themeColor="text1"/>
          <w:sz w:val="22"/>
          <w:szCs w:val="22"/>
          <w:lang w:val="bs-Latn-BA"/>
        </w:rPr>
        <w:t xml:space="preserve">a uzorku od 10 institucija na nivou FBiH, u 5 institucija nije predviđeno mjesto službenika/ce za informisanje, a na istom uzorku zabilježeno je ukupno 2.303 zahtjeva za pristup informacijama. To znači da federalne institucije u prosjeku obrađuju godišnje 115,15 zahtjeva. 75,5 % zahtjeva su uputila pravna lica, a čak 88,7 % tih zahtjeva otpada na Poresku upravu FBiH. </w:t>
      </w:r>
    </w:p>
    <w:p w14:paraId="3F97F579" w14:textId="77777777" w:rsidR="004418A3" w:rsidRPr="004418A3" w:rsidRDefault="004418A3" w:rsidP="004418A3">
      <w:pPr>
        <w:jc w:val="both"/>
        <w:rPr>
          <w:rFonts w:asciiTheme="majorHAnsi" w:hAnsiTheme="majorHAnsi"/>
          <w:color w:val="000000" w:themeColor="text1"/>
          <w:sz w:val="22"/>
          <w:szCs w:val="22"/>
          <w:lang w:val="bs-Latn-BA"/>
        </w:rPr>
      </w:pPr>
    </w:p>
    <w:p w14:paraId="43B0E964" w14:textId="77777777" w:rsidR="004418A3" w:rsidRPr="004418A3" w:rsidRDefault="004418A3" w:rsidP="004418A3">
      <w:pPr>
        <w:jc w:val="both"/>
        <w:rPr>
          <w:rFonts w:asciiTheme="majorHAnsi" w:hAnsiTheme="majorHAnsi"/>
          <w:color w:val="000000" w:themeColor="text1"/>
          <w:sz w:val="22"/>
          <w:szCs w:val="22"/>
          <w:lang w:val="bs-Latn-BA"/>
        </w:rPr>
      </w:pPr>
      <w:r w:rsidRPr="004418A3">
        <w:rPr>
          <w:rFonts w:asciiTheme="majorHAnsi" w:hAnsiTheme="majorHAnsi"/>
          <w:color w:val="000000" w:themeColor="text1"/>
          <w:sz w:val="22"/>
          <w:szCs w:val="22"/>
          <w:lang w:val="bs-Latn-BA"/>
        </w:rPr>
        <w:t xml:space="preserve">Tražioci informacija zahtjevaju različite informacije, a one se uglavnom usko odnose na rad monitorisanih institucija, što pokazuje i podatak da je samo 4,5% zahtjeva za pristup informacijama odbijeno od ukupnog broja pristiglih zahtjeva. Broj pristiglih zahtjeva, odnosno činjenica da prevladava broj ustupljenih informacija, pokazuje da se zaista radi o informacijama koje su pod kontrolom javnih organa, a njihovo ažurnim objavljivanjem posredstvom novih medija znatno bi se smanjilo bi vrijeme koje se odvaja na rad po zahjevima. I, naravno, značajno bi se poboljšao kvalitet usluge prema korisnicima informacija. </w:t>
      </w:r>
    </w:p>
    <w:p w14:paraId="74F67146" w14:textId="77777777" w:rsidR="004418A3" w:rsidRPr="004418A3" w:rsidRDefault="004418A3" w:rsidP="004418A3">
      <w:pPr>
        <w:jc w:val="both"/>
        <w:rPr>
          <w:rFonts w:asciiTheme="majorHAnsi" w:hAnsiTheme="majorHAnsi"/>
          <w:color w:val="000000" w:themeColor="text1"/>
          <w:sz w:val="22"/>
          <w:szCs w:val="22"/>
          <w:lang w:val="bs-Latn-BA"/>
        </w:rPr>
      </w:pPr>
    </w:p>
    <w:p w14:paraId="2D64835E" w14:textId="77777777" w:rsidR="004418A3" w:rsidRPr="004418A3" w:rsidRDefault="004418A3" w:rsidP="004418A3">
      <w:pPr>
        <w:jc w:val="both"/>
        <w:rPr>
          <w:rFonts w:asciiTheme="majorHAnsi" w:hAnsiTheme="majorHAnsi"/>
          <w:color w:val="000000" w:themeColor="text1"/>
          <w:sz w:val="22"/>
          <w:szCs w:val="22"/>
          <w:lang w:val="bs-Latn-BA"/>
        </w:rPr>
      </w:pPr>
      <w:r w:rsidRPr="004418A3">
        <w:rPr>
          <w:rFonts w:asciiTheme="majorHAnsi" w:hAnsiTheme="majorHAnsi"/>
          <w:color w:val="000000" w:themeColor="text1"/>
          <w:sz w:val="22"/>
          <w:szCs w:val="22"/>
          <w:lang w:val="bs-Latn-BA"/>
        </w:rPr>
        <w:lastRenderedPageBreak/>
        <w:t xml:space="preserve">Institucija Ombudsmana za ljudska prava se oglasila sa ukupno 6 preporuka, a od toga se čak 5 preporuka odnosni na Federalno ministarstvo finansija.   </w:t>
      </w:r>
    </w:p>
    <w:p w14:paraId="10FFD03B" w14:textId="77777777" w:rsidR="004418A3" w:rsidRDefault="004418A3" w:rsidP="00754472">
      <w:pPr>
        <w:jc w:val="both"/>
        <w:rPr>
          <w:rFonts w:asciiTheme="majorHAnsi" w:hAnsiTheme="majorHAnsi"/>
          <w:color w:val="000000" w:themeColor="text1"/>
          <w:sz w:val="22"/>
          <w:szCs w:val="22"/>
          <w:lang w:val="bs-Latn-BA"/>
        </w:rPr>
      </w:pPr>
    </w:p>
    <w:p w14:paraId="6BFD16A4" w14:textId="1DCADE68" w:rsidR="005277D2" w:rsidRPr="0054107F" w:rsidRDefault="005277D2"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lang w:val="bs-Latn-BA"/>
        </w:rPr>
        <w:t xml:space="preserve">Na uzorku od 11 institucija </w:t>
      </w:r>
      <w:r w:rsidR="005E61AE" w:rsidRPr="0054107F">
        <w:rPr>
          <w:rFonts w:asciiTheme="majorHAnsi" w:hAnsiTheme="majorHAnsi"/>
          <w:color w:val="000000" w:themeColor="text1"/>
          <w:sz w:val="22"/>
          <w:szCs w:val="22"/>
          <w:lang w:val="bs-Latn-BA"/>
        </w:rPr>
        <w:t xml:space="preserve">u RS </w:t>
      </w:r>
      <w:r w:rsidRPr="0054107F">
        <w:rPr>
          <w:rFonts w:asciiTheme="majorHAnsi" w:hAnsiTheme="majorHAnsi"/>
          <w:color w:val="000000" w:themeColor="text1"/>
          <w:sz w:val="22"/>
          <w:szCs w:val="22"/>
          <w:lang w:val="bs-Latn-BA"/>
        </w:rPr>
        <w:t>koje su dostavile podatke za period 2014</w:t>
      </w:r>
      <w:r w:rsidR="002F73B9">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w:t>
      </w:r>
      <w:r w:rsidR="002F73B9">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2015. godina zabilježeno je 1</w:t>
      </w:r>
      <w:r w:rsidR="002F73B9">
        <w:rPr>
          <w:rFonts w:asciiTheme="majorHAnsi" w:hAnsiTheme="majorHAnsi"/>
          <w:color w:val="000000" w:themeColor="text1"/>
          <w:sz w:val="22"/>
          <w:szCs w:val="22"/>
          <w:lang w:val="bs-Latn-BA"/>
        </w:rPr>
        <w:t>.</w:t>
      </w:r>
      <w:r w:rsidRPr="0054107F">
        <w:rPr>
          <w:rFonts w:asciiTheme="majorHAnsi" w:hAnsiTheme="majorHAnsi"/>
          <w:color w:val="000000" w:themeColor="text1"/>
          <w:sz w:val="22"/>
          <w:szCs w:val="22"/>
          <w:lang w:val="bs-Latn-BA"/>
        </w:rPr>
        <w:t xml:space="preserve">974 zahtjeva za pristup informacijama, od čega su 56,5% zahtjeva uputila pravna lica. </w:t>
      </w:r>
      <w:r w:rsidRPr="0054107F">
        <w:rPr>
          <w:rFonts w:asciiTheme="majorHAnsi" w:hAnsiTheme="majorHAnsi"/>
          <w:color w:val="000000" w:themeColor="text1"/>
          <w:sz w:val="22"/>
          <w:szCs w:val="22"/>
        </w:rPr>
        <w:t>Ukoliko se ovaj broj podijeli na 11 institucija ispostavlja se da j</w:t>
      </w:r>
      <w:r w:rsidR="002F73B9">
        <w:rPr>
          <w:rFonts w:asciiTheme="majorHAnsi" w:hAnsiTheme="majorHAnsi"/>
          <w:color w:val="000000" w:themeColor="text1"/>
          <w:sz w:val="22"/>
          <w:szCs w:val="22"/>
        </w:rPr>
        <w:t>e u prosjeku 98</w:t>
      </w:r>
      <w:proofErr w:type="gramStart"/>
      <w:r w:rsidR="002F73B9">
        <w:rPr>
          <w:rFonts w:asciiTheme="majorHAnsi" w:hAnsiTheme="majorHAnsi"/>
          <w:color w:val="000000" w:themeColor="text1"/>
          <w:sz w:val="22"/>
          <w:szCs w:val="22"/>
        </w:rPr>
        <w:t>,7</w:t>
      </w:r>
      <w:proofErr w:type="gramEnd"/>
      <w:r w:rsidRPr="0054107F">
        <w:rPr>
          <w:rFonts w:asciiTheme="majorHAnsi" w:hAnsiTheme="majorHAnsi"/>
          <w:color w:val="000000" w:themeColor="text1"/>
          <w:sz w:val="22"/>
          <w:szCs w:val="22"/>
        </w:rPr>
        <w:t xml:space="preserve"> zahtjeva za pristup informacija obrađeno na godišnjem nivou. Ovako velik broj zahtjeva za pristup informacijama može se dovesti u vezu </w:t>
      </w:r>
      <w:proofErr w:type="gramStart"/>
      <w:r w:rsidRPr="0054107F">
        <w:rPr>
          <w:rFonts w:asciiTheme="majorHAnsi" w:hAnsiTheme="majorHAnsi"/>
          <w:color w:val="000000" w:themeColor="text1"/>
          <w:sz w:val="22"/>
          <w:szCs w:val="22"/>
        </w:rPr>
        <w:t>sa</w:t>
      </w:r>
      <w:proofErr w:type="gramEnd"/>
      <w:r w:rsidRPr="0054107F">
        <w:rPr>
          <w:rFonts w:asciiTheme="majorHAnsi" w:hAnsiTheme="majorHAnsi"/>
          <w:color w:val="000000" w:themeColor="text1"/>
          <w:sz w:val="22"/>
          <w:szCs w:val="22"/>
        </w:rPr>
        <w:t xml:space="preserve"> činjenicom da institucije ne objavljuju dovoljno ažurno i transpar</w:t>
      </w:r>
      <w:r w:rsidR="002F73B9">
        <w:rPr>
          <w:rFonts w:asciiTheme="majorHAnsi" w:hAnsiTheme="majorHAnsi"/>
          <w:color w:val="000000" w:themeColor="text1"/>
          <w:sz w:val="22"/>
          <w:szCs w:val="22"/>
        </w:rPr>
        <w:t>e</w:t>
      </w:r>
      <w:r w:rsidRPr="0054107F">
        <w:rPr>
          <w:rFonts w:asciiTheme="majorHAnsi" w:hAnsiTheme="majorHAnsi"/>
          <w:color w:val="000000" w:themeColor="text1"/>
          <w:sz w:val="22"/>
          <w:szCs w:val="22"/>
        </w:rPr>
        <w:t xml:space="preserve">ntno informacije o svom radu, čime bi se svakako smanjili troškovi i vrijeme koje se odvaja na obradu pristiglih zahtjeva za pristup informacija. </w:t>
      </w:r>
    </w:p>
    <w:p w14:paraId="675A74EE" w14:textId="77777777" w:rsidR="005277D2" w:rsidRPr="0054107F" w:rsidRDefault="005277D2" w:rsidP="00754472">
      <w:pPr>
        <w:jc w:val="both"/>
        <w:rPr>
          <w:rFonts w:asciiTheme="majorHAnsi" w:hAnsiTheme="majorHAnsi"/>
          <w:color w:val="000000" w:themeColor="text1"/>
          <w:sz w:val="22"/>
          <w:szCs w:val="22"/>
        </w:rPr>
      </w:pPr>
    </w:p>
    <w:p w14:paraId="1444C945" w14:textId="781BB233" w:rsidR="005277D2" w:rsidRPr="0054107F" w:rsidRDefault="002F73B9" w:rsidP="00754472">
      <w:pPr>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U </w:t>
      </w:r>
      <w:r w:rsidR="009B4EED" w:rsidRPr="0054107F">
        <w:rPr>
          <w:rFonts w:asciiTheme="majorHAnsi" w:hAnsiTheme="majorHAnsi"/>
          <w:color w:val="000000" w:themeColor="text1"/>
          <w:sz w:val="22"/>
          <w:szCs w:val="22"/>
        </w:rPr>
        <w:t>2 od 11</w:t>
      </w:r>
      <w:r w:rsidR="005277D2" w:rsidRPr="0054107F">
        <w:rPr>
          <w:rFonts w:asciiTheme="majorHAnsi" w:hAnsiTheme="majorHAnsi"/>
          <w:color w:val="000000" w:themeColor="text1"/>
          <w:sz w:val="22"/>
          <w:szCs w:val="22"/>
        </w:rPr>
        <w:t xml:space="preserve"> institucija</w:t>
      </w:r>
      <w:r>
        <w:rPr>
          <w:rFonts w:asciiTheme="majorHAnsi" w:hAnsiTheme="majorHAnsi"/>
          <w:color w:val="000000" w:themeColor="text1"/>
          <w:sz w:val="22"/>
          <w:szCs w:val="22"/>
        </w:rPr>
        <w:t xml:space="preserve"> RS</w:t>
      </w:r>
      <w:r w:rsidR="005277D2" w:rsidRPr="0054107F">
        <w:rPr>
          <w:rFonts w:asciiTheme="majorHAnsi" w:hAnsiTheme="majorHAnsi"/>
          <w:color w:val="000000" w:themeColor="text1"/>
          <w:sz w:val="22"/>
          <w:szCs w:val="22"/>
        </w:rPr>
        <w:t xml:space="preserve"> nemaju službenika za informinisanje, ali zato niti u jed</w:t>
      </w:r>
      <w:r w:rsidR="00624507" w:rsidRPr="0054107F">
        <w:rPr>
          <w:rFonts w:asciiTheme="majorHAnsi" w:hAnsiTheme="majorHAnsi"/>
          <w:color w:val="000000" w:themeColor="text1"/>
          <w:sz w:val="22"/>
          <w:szCs w:val="22"/>
        </w:rPr>
        <w:t>n</w:t>
      </w:r>
      <w:r w:rsidR="005277D2" w:rsidRPr="0054107F">
        <w:rPr>
          <w:rFonts w:asciiTheme="majorHAnsi" w:hAnsiTheme="majorHAnsi"/>
          <w:color w:val="000000" w:themeColor="text1"/>
          <w:sz w:val="22"/>
          <w:szCs w:val="22"/>
        </w:rPr>
        <w:t xml:space="preserve">oj instituciji nije napravljen iskorak u pravcu promjene paradigme ka proaktivnoj transparentnosti, što bi podrazumijevalo dostupnost mnogo šireg spektra informacija od onog koji je trenutno dostupan na službenim web stranicama. </w:t>
      </w:r>
    </w:p>
    <w:p w14:paraId="2DEA2ABE" w14:textId="77777777" w:rsidR="005277D2" w:rsidRPr="0054107F" w:rsidRDefault="005277D2" w:rsidP="00754472">
      <w:pPr>
        <w:jc w:val="both"/>
        <w:rPr>
          <w:rFonts w:asciiTheme="majorHAnsi" w:hAnsiTheme="majorHAnsi"/>
          <w:color w:val="000000" w:themeColor="text1"/>
          <w:sz w:val="22"/>
          <w:szCs w:val="22"/>
        </w:rPr>
      </w:pPr>
    </w:p>
    <w:p w14:paraId="0B768A3A" w14:textId="599045A9" w:rsidR="005277D2" w:rsidRPr="0054107F" w:rsidRDefault="005277D2"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 xml:space="preserve">Neobično velik broj zahjeva za pristup informacijama imaju pojedina ministarstva, </w:t>
      </w:r>
      <w:proofErr w:type="gramStart"/>
      <w:r w:rsidRPr="0054107F">
        <w:rPr>
          <w:rFonts w:asciiTheme="majorHAnsi" w:hAnsiTheme="majorHAnsi"/>
          <w:color w:val="000000" w:themeColor="text1"/>
          <w:sz w:val="22"/>
          <w:szCs w:val="22"/>
        </w:rPr>
        <w:t>npr</w:t>
      </w:r>
      <w:proofErr w:type="gramEnd"/>
      <w:r w:rsidRPr="0054107F">
        <w:rPr>
          <w:rFonts w:asciiTheme="majorHAnsi" w:hAnsiTheme="majorHAnsi"/>
          <w:color w:val="000000" w:themeColor="text1"/>
          <w:sz w:val="22"/>
          <w:szCs w:val="22"/>
        </w:rPr>
        <w:t xml:space="preserve">. Ministarstvo zdravlja i socijalne zaštite </w:t>
      </w:r>
      <w:r w:rsidR="002F73B9">
        <w:rPr>
          <w:rFonts w:asciiTheme="majorHAnsi" w:hAnsiTheme="majorHAnsi"/>
          <w:color w:val="000000" w:themeColor="text1"/>
          <w:sz w:val="22"/>
          <w:szCs w:val="22"/>
        </w:rPr>
        <w:t xml:space="preserve">RS </w:t>
      </w:r>
      <w:r w:rsidRPr="0054107F">
        <w:rPr>
          <w:rFonts w:asciiTheme="majorHAnsi" w:hAnsiTheme="majorHAnsi"/>
          <w:color w:val="000000" w:themeColor="text1"/>
          <w:sz w:val="22"/>
          <w:szCs w:val="22"/>
        </w:rPr>
        <w:t>na koje otpada čak 33</w:t>
      </w:r>
      <w:proofErr w:type="gramStart"/>
      <w:r w:rsidRPr="0054107F">
        <w:rPr>
          <w:rFonts w:asciiTheme="majorHAnsi" w:hAnsiTheme="majorHAnsi"/>
          <w:color w:val="000000" w:themeColor="text1"/>
          <w:sz w:val="22"/>
          <w:szCs w:val="22"/>
        </w:rPr>
        <w:t>,3</w:t>
      </w:r>
      <w:proofErr w:type="gramEnd"/>
      <w:r w:rsidRPr="0054107F">
        <w:rPr>
          <w:rFonts w:asciiTheme="majorHAnsi" w:hAnsiTheme="majorHAnsi"/>
          <w:color w:val="000000" w:themeColor="text1"/>
          <w:sz w:val="22"/>
          <w:szCs w:val="22"/>
        </w:rPr>
        <w:t xml:space="preserve">% od ukupnog broja ili jedna trećina zahtjeva. Kada se još analiziraju informacije koje su građani tražili evidentno je da se najčešće radi o informacijama koje bi trebale već biti dostupne putem web prezentacije, i koje se odnose </w:t>
      </w:r>
      <w:proofErr w:type="gramStart"/>
      <w:r w:rsidRPr="0054107F">
        <w:rPr>
          <w:rFonts w:asciiTheme="majorHAnsi" w:hAnsiTheme="majorHAnsi"/>
          <w:color w:val="000000" w:themeColor="text1"/>
          <w:sz w:val="22"/>
          <w:szCs w:val="22"/>
        </w:rPr>
        <w:t>na</w:t>
      </w:r>
      <w:proofErr w:type="gramEnd"/>
      <w:r w:rsidRPr="0054107F">
        <w:rPr>
          <w:rFonts w:asciiTheme="majorHAnsi" w:hAnsiTheme="majorHAnsi"/>
          <w:color w:val="000000" w:themeColor="text1"/>
          <w:sz w:val="22"/>
          <w:szCs w:val="22"/>
        </w:rPr>
        <w:t xml:space="preserve"> opis poslova iz djelokruga institucije. </w:t>
      </w:r>
    </w:p>
    <w:p w14:paraId="5DA18652" w14:textId="77777777" w:rsidR="005277D2" w:rsidRPr="0054107F" w:rsidRDefault="005277D2" w:rsidP="00754472">
      <w:pPr>
        <w:jc w:val="both"/>
        <w:rPr>
          <w:rFonts w:asciiTheme="majorHAnsi" w:hAnsiTheme="majorHAnsi"/>
          <w:color w:val="000000" w:themeColor="text1"/>
          <w:sz w:val="22"/>
          <w:szCs w:val="22"/>
        </w:rPr>
      </w:pPr>
    </w:p>
    <w:p w14:paraId="18AADAEC" w14:textId="0420404A" w:rsidR="005277D2" w:rsidRPr="0054107F" w:rsidRDefault="005277D2"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Zanimljivo je i da u samo 1</w:t>
      </w:r>
      <w:proofErr w:type="gramStart"/>
      <w:r w:rsidRPr="0054107F">
        <w:rPr>
          <w:rFonts w:asciiTheme="majorHAnsi" w:hAnsiTheme="majorHAnsi"/>
          <w:color w:val="000000" w:themeColor="text1"/>
          <w:sz w:val="22"/>
          <w:szCs w:val="22"/>
        </w:rPr>
        <w:t>,3</w:t>
      </w:r>
      <w:proofErr w:type="gramEnd"/>
      <w:r w:rsidRPr="0054107F">
        <w:rPr>
          <w:rFonts w:asciiTheme="majorHAnsi" w:hAnsiTheme="majorHAnsi"/>
          <w:color w:val="000000" w:themeColor="text1"/>
          <w:sz w:val="22"/>
          <w:szCs w:val="22"/>
        </w:rPr>
        <w:t xml:space="preserve">% slučajeva nije udovoljeno tražiocima informacija od ukupnog broja pristiglih informacija, i to se </w:t>
      </w:r>
      <w:r w:rsidR="008138E9" w:rsidRPr="0054107F">
        <w:rPr>
          <w:rFonts w:asciiTheme="majorHAnsi" w:hAnsiTheme="majorHAnsi"/>
          <w:color w:val="000000" w:themeColor="text1"/>
          <w:sz w:val="22"/>
          <w:szCs w:val="22"/>
        </w:rPr>
        <w:t xml:space="preserve">uglavnom </w:t>
      </w:r>
      <w:r w:rsidR="001B7F91">
        <w:rPr>
          <w:rFonts w:asciiTheme="majorHAnsi" w:hAnsiTheme="majorHAnsi"/>
          <w:color w:val="000000" w:themeColor="text1"/>
          <w:sz w:val="22"/>
          <w:szCs w:val="22"/>
        </w:rPr>
        <w:t>odnosi na situacije kada djeli</w:t>
      </w:r>
      <w:r w:rsidRPr="0054107F">
        <w:rPr>
          <w:rFonts w:asciiTheme="majorHAnsi" w:hAnsiTheme="majorHAnsi"/>
          <w:color w:val="000000" w:themeColor="text1"/>
          <w:sz w:val="22"/>
          <w:szCs w:val="22"/>
        </w:rPr>
        <w:t xml:space="preserve">mično nije udovoljeno zahtjevu. To znači da se radi o informaciji čiji javni karakter nije sporan, </w:t>
      </w:r>
      <w:proofErr w:type="gramStart"/>
      <w:r w:rsidRPr="0054107F">
        <w:rPr>
          <w:rFonts w:asciiTheme="majorHAnsi" w:hAnsiTheme="majorHAnsi"/>
          <w:color w:val="000000" w:themeColor="text1"/>
          <w:sz w:val="22"/>
          <w:szCs w:val="22"/>
        </w:rPr>
        <w:t>te</w:t>
      </w:r>
      <w:proofErr w:type="gramEnd"/>
      <w:r w:rsidRPr="0054107F">
        <w:rPr>
          <w:rFonts w:asciiTheme="majorHAnsi" w:hAnsiTheme="majorHAnsi"/>
          <w:color w:val="000000" w:themeColor="text1"/>
          <w:sz w:val="22"/>
          <w:szCs w:val="22"/>
        </w:rPr>
        <w:t xml:space="preserve"> da bi one kao takve već mogle biti dostupne, prevashodno internet prezentacijom. Neophodno je izdvojiti</w:t>
      </w:r>
      <w:r w:rsidR="001B7F91">
        <w:rPr>
          <w:rFonts w:asciiTheme="majorHAnsi" w:hAnsiTheme="majorHAnsi"/>
          <w:color w:val="000000" w:themeColor="text1"/>
          <w:sz w:val="22"/>
          <w:szCs w:val="22"/>
        </w:rPr>
        <w:t xml:space="preserve"> podatak</w:t>
      </w:r>
      <w:r w:rsidRPr="0054107F">
        <w:rPr>
          <w:rFonts w:asciiTheme="majorHAnsi" w:hAnsiTheme="majorHAnsi"/>
          <w:color w:val="000000" w:themeColor="text1"/>
          <w:sz w:val="22"/>
          <w:szCs w:val="22"/>
        </w:rPr>
        <w:t xml:space="preserve"> da je Agencija za bankarstvo RS najviše puta odbila tražioce informacija (16 puta) i to je čini ubjedljivo najtajnovitijom monitorisaom institucijom. </w:t>
      </w:r>
    </w:p>
    <w:p w14:paraId="6D9D4F1F" w14:textId="77777777" w:rsidR="005277D2" w:rsidRPr="0054107F" w:rsidRDefault="005277D2" w:rsidP="00754472">
      <w:pPr>
        <w:jc w:val="both"/>
        <w:rPr>
          <w:rFonts w:asciiTheme="majorHAnsi" w:hAnsiTheme="majorHAnsi"/>
          <w:color w:val="000000" w:themeColor="text1"/>
          <w:sz w:val="22"/>
          <w:szCs w:val="22"/>
        </w:rPr>
      </w:pPr>
    </w:p>
    <w:p w14:paraId="46F14BBA" w14:textId="29C51108" w:rsidR="005277D2" w:rsidRPr="0054107F" w:rsidRDefault="005277D2"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Institucija Ombu</w:t>
      </w:r>
      <w:r w:rsidR="009B4EED" w:rsidRPr="0054107F">
        <w:rPr>
          <w:rFonts w:asciiTheme="majorHAnsi" w:hAnsiTheme="majorHAnsi"/>
          <w:color w:val="000000" w:themeColor="text1"/>
          <w:sz w:val="22"/>
          <w:szCs w:val="22"/>
        </w:rPr>
        <w:t xml:space="preserve">dsmana je 3 puta </w:t>
      </w:r>
      <w:proofErr w:type="gramStart"/>
      <w:r w:rsidR="009B4EED" w:rsidRPr="0054107F">
        <w:rPr>
          <w:rFonts w:asciiTheme="majorHAnsi" w:hAnsiTheme="majorHAnsi"/>
          <w:color w:val="000000" w:themeColor="text1"/>
          <w:sz w:val="22"/>
          <w:szCs w:val="22"/>
        </w:rPr>
        <w:t>na</w:t>
      </w:r>
      <w:proofErr w:type="gramEnd"/>
      <w:r w:rsidR="009B4EED" w:rsidRPr="0054107F">
        <w:rPr>
          <w:rFonts w:asciiTheme="majorHAnsi" w:hAnsiTheme="majorHAnsi"/>
          <w:color w:val="000000" w:themeColor="text1"/>
          <w:sz w:val="22"/>
          <w:szCs w:val="22"/>
        </w:rPr>
        <w:t xml:space="preserve"> uzorku od 12</w:t>
      </w:r>
      <w:r w:rsidRPr="0054107F">
        <w:rPr>
          <w:rFonts w:asciiTheme="majorHAnsi" w:hAnsiTheme="majorHAnsi"/>
          <w:color w:val="000000" w:themeColor="text1"/>
          <w:sz w:val="22"/>
          <w:szCs w:val="22"/>
        </w:rPr>
        <w:t xml:space="preserve"> institucija oglasila se preporukom, a građanima najčešće nije udovoljeno zahtjevu za pristup informacijama zbog primjene izuzetka iz člana 8. Zakona o slobodi pristupa informacijama koji se odnosi </w:t>
      </w:r>
      <w:proofErr w:type="gramStart"/>
      <w:r w:rsidRPr="0054107F">
        <w:rPr>
          <w:rFonts w:asciiTheme="majorHAnsi" w:hAnsiTheme="majorHAnsi"/>
          <w:color w:val="000000" w:themeColor="text1"/>
          <w:sz w:val="22"/>
          <w:szCs w:val="22"/>
        </w:rPr>
        <w:t>na</w:t>
      </w:r>
      <w:proofErr w:type="gramEnd"/>
      <w:r w:rsidRPr="0054107F">
        <w:rPr>
          <w:rFonts w:asciiTheme="majorHAnsi" w:hAnsiTheme="majorHAnsi"/>
          <w:color w:val="000000" w:themeColor="text1"/>
          <w:sz w:val="22"/>
          <w:szCs w:val="22"/>
        </w:rPr>
        <w:t xml:space="preserve"> zaštitu privatnosti trećih lica. Jedino u slučaju Agencije za bankarstvo RS zahtjevima nije udovoljeno iz ovog razloga, već se radi o primjeni tzv. </w:t>
      </w:r>
      <w:proofErr w:type="gramStart"/>
      <w:r w:rsidRPr="0054107F">
        <w:rPr>
          <w:rFonts w:asciiTheme="majorHAnsi" w:hAnsiTheme="majorHAnsi"/>
          <w:color w:val="000000" w:themeColor="text1"/>
          <w:sz w:val="22"/>
          <w:szCs w:val="22"/>
        </w:rPr>
        <w:t>povjerljivih</w:t>
      </w:r>
      <w:proofErr w:type="gramEnd"/>
      <w:r w:rsidRPr="0054107F">
        <w:rPr>
          <w:rFonts w:asciiTheme="majorHAnsi" w:hAnsiTheme="majorHAnsi"/>
          <w:color w:val="000000" w:themeColor="text1"/>
          <w:sz w:val="22"/>
          <w:szCs w:val="22"/>
        </w:rPr>
        <w:t xml:space="preserve"> odredbi koje se odnose na specifičan rad nadozornog tijela finansijskog sektora. </w:t>
      </w:r>
      <w:r w:rsidRPr="0054107F">
        <w:rPr>
          <w:rStyle w:val="FootnoteReference"/>
          <w:rFonts w:asciiTheme="majorHAnsi" w:hAnsiTheme="majorHAnsi"/>
          <w:color w:val="000000" w:themeColor="text1"/>
          <w:sz w:val="22"/>
          <w:szCs w:val="22"/>
        </w:rPr>
        <w:footnoteReference w:id="4"/>
      </w:r>
      <w:r w:rsidRPr="0054107F">
        <w:rPr>
          <w:rFonts w:asciiTheme="majorHAnsi" w:hAnsiTheme="majorHAnsi"/>
          <w:color w:val="000000" w:themeColor="text1"/>
          <w:sz w:val="22"/>
          <w:szCs w:val="22"/>
        </w:rPr>
        <w:t xml:space="preserve"> </w:t>
      </w:r>
    </w:p>
    <w:p w14:paraId="5048BBF0" w14:textId="77777777" w:rsidR="005B2DF8" w:rsidRPr="0054107F" w:rsidRDefault="005B2DF8" w:rsidP="00754472">
      <w:pPr>
        <w:jc w:val="both"/>
        <w:rPr>
          <w:rFonts w:asciiTheme="majorHAnsi" w:hAnsiTheme="majorHAnsi"/>
          <w:color w:val="000000" w:themeColor="text1"/>
          <w:sz w:val="22"/>
          <w:szCs w:val="22"/>
        </w:rPr>
      </w:pPr>
    </w:p>
    <w:p w14:paraId="70B10A3F" w14:textId="6C871837" w:rsidR="009B4EED" w:rsidRPr="0054107F" w:rsidRDefault="009B4EED" w:rsidP="009B4EED">
      <w:pPr>
        <w:jc w:val="both"/>
        <w:rPr>
          <w:rFonts w:asciiTheme="majorHAnsi" w:hAnsiTheme="majorHAnsi"/>
          <w:i/>
          <w:color w:val="000000" w:themeColor="text1"/>
          <w:sz w:val="22"/>
          <w:szCs w:val="22"/>
          <w:lang w:val="bs-Latn-BA"/>
        </w:rPr>
      </w:pPr>
      <w:r w:rsidRPr="0054107F">
        <w:rPr>
          <w:rFonts w:asciiTheme="majorHAnsi" w:hAnsiTheme="majorHAnsi"/>
          <w:b/>
          <w:i/>
          <w:color w:val="000000" w:themeColor="text1"/>
          <w:sz w:val="22"/>
          <w:szCs w:val="22"/>
          <w:lang w:val="bs-Latn-BA"/>
        </w:rPr>
        <w:t>Zaključak:</w:t>
      </w:r>
      <w:r w:rsidRPr="0054107F">
        <w:rPr>
          <w:rFonts w:asciiTheme="majorHAnsi" w:hAnsiTheme="majorHAnsi"/>
          <w:i/>
          <w:color w:val="000000" w:themeColor="text1"/>
          <w:sz w:val="22"/>
          <w:szCs w:val="22"/>
          <w:lang w:val="bs-Latn-BA"/>
        </w:rPr>
        <w:t xml:space="preserve"> Primjetno je da se u većini institucija koncept transparentnosti svodi na reaktivni model, odnosno informacija se ustupaju po pristiglim zahtjevima građana na pitanja koja se usko odnose na rad i nadležnosti institucija. To je neefikasan način raspologanja informacijama od javnog značaja, i s obzirom da su tražioci informacija odbijeni u malom broju slučajeva to govori da su informacije koje interesuju građane zaista javnog karaktera i pod kontrolom javnih organa, ali se ništa ne čini da se oni unaprijed objave na službenim web stranicama. U gotovo svim institucijam se ističe da se čine određeni napori na unaprijeđenju prakse proaktivne transparentnosti, ali dostupni podaci, tj. relativno velik broj zahtjeva za pristup informacijama, izuzev državnog nivoa, ne potrvđuju ove tvrdnje. Situacija je povoljnija na državnom nivou, o čemu svjedoči manji broj zahtjeva za pristup informacijam</w:t>
      </w:r>
      <w:r w:rsidR="00F9072C">
        <w:rPr>
          <w:rFonts w:asciiTheme="majorHAnsi" w:hAnsiTheme="majorHAnsi"/>
          <w:i/>
          <w:color w:val="000000" w:themeColor="text1"/>
          <w:sz w:val="22"/>
          <w:szCs w:val="22"/>
          <w:lang w:val="bs-Latn-BA"/>
        </w:rPr>
        <w:t>a, ali i odsustvo preporuka iz I</w:t>
      </w:r>
      <w:r w:rsidRPr="0054107F">
        <w:rPr>
          <w:rFonts w:asciiTheme="majorHAnsi" w:hAnsiTheme="majorHAnsi"/>
          <w:i/>
          <w:color w:val="000000" w:themeColor="text1"/>
          <w:sz w:val="22"/>
          <w:szCs w:val="22"/>
          <w:lang w:val="bs-Latn-BA"/>
        </w:rPr>
        <w:t>ns</w:t>
      </w:r>
      <w:r w:rsidR="00F9072C">
        <w:rPr>
          <w:rFonts w:asciiTheme="majorHAnsi" w:hAnsiTheme="majorHAnsi"/>
          <w:i/>
          <w:color w:val="000000" w:themeColor="text1"/>
          <w:sz w:val="22"/>
          <w:szCs w:val="22"/>
          <w:lang w:val="bs-Latn-BA"/>
        </w:rPr>
        <w:t>titucije o</w:t>
      </w:r>
      <w:r w:rsidRPr="0054107F">
        <w:rPr>
          <w:rFonts w:asciiTheme="majorHAnsi" w:hAnsiTheme="majorHAnsi"/>
          <w:i/>
          <w:color w:val="000000" w:themeColor="text1"/>
          <w:sz w:val="22"/>
          <w:szCs w:val="22"/>
          <w:lang w:val="bs-Latn-BA"/>
        </w:rPr>
        <w:t xml:space="preserve">mbudsmana za ljudska prava koja pojedinačnim preporukama upozorava na slučajeve kršenja Zakona o slobodi pristupa informacijama.  </w:t>
      </w:r>
    </w:p>
    <w:p w14:paraId="52E2FF3B" w14:textId="77777777" w:rsidR="009B4EED" w:rsidRPr="0054107F" w:rsidRDefault="009B4EED" w:rsidP="009B4EED">
      <w:pPr>
        <w:jc w:val="both"/>
        <w:rPr>
          <w:rFonts w:asciiTheme="majorHAnsi" w:hAnsiTheme="majorHAnsi"/>
          <w:i/>
          <w:color w:val="000000" w:themeColor="text1"/>
          <w:sz w:val="22"/>
          <w:szCs w:val="22"/>
          <w:lang w:val="bs-Latn-BA"/>
        </w:rPr>
      </w:pPr>
    </w:p>
    <w:p w14:paraId="69666D72" w14:textId="77777777" w:rsidR="009B4EED" w:rsidRPr="0054107F" w:rsidRDefault="009B4EED" w:rsidP="009B4EED">
      <w:pPr>
        <w:jc w:val="both"/>
        <w:rPr>
          <w:rFonts w:asciiTheme="majorHAnsi" w:hAnsiTheme="majorHAnsi"/>
          <w:i/>
          <w:color w:val="000000" w:themeColor="text1"/>
          <w:sz w:val="22"/>
          <w:szCs w:val="22"/>
          <w:lang w:val="bs-Latn-BA"/>
        </w:rPr>
      </w:pPr>
      <w:r w:rsidRPr="0054107F">
        <w:rPr>
          <w:rFonts w:asciiTheme="majorHAnsi" w:hAnsiTheme="majorHAnsi"/>
          <w:b/>
          <w:i/>
          <w:color w:val="000000" w:themeColor="text1"/>
          <w:sz w:val="22"/>
          <w:szCs w:val="22"/>
          <w:lang w:val="bs-Latn-BA"/>
        </w:rPr>
        <w:lastRenderedPageBreak/>
        <w:t>Preporuka:</w:t>
      </w:r>
      <w:r w:rsidRPr="0054107F">
        <w:rPr>
          <w:rFonts w:asciiTheme="majorHAnsi" w:hAnsiTheme="majorHAnsi"/>
          <w:i/>
          <w:color w:val="000000" w:themeColor="text1"/>
          <w:sz w:val="22"/>
          <w:szCs w:val="22"/>
          <w:lang w:val="bs-Latn-BA"/>
        </w:rPr>
        <w:t xml:space="preserve"> U skladu sa mjerama iz Predloga mjera za Akcioni plan BiH u okviru inicijative Partnerstvo za otvorenu vlast koje je sačinila grupa organizacija civilnog društva</w:t>
      </w:r>
      <w:r w:rsidRPr="0054107F">
        <w:rPr>
          <w:rFonts w:asciiTheme="majorHAnsi" w:hAnsiTheme="majorHAnsi"/>
          <w:i/>
          <w:color w:val="000000" w:themeColor="text1"/>
          <w:sz w:val="22"/>
          <w:szCs w:val="22"/>
          <w:vertAlign w:val="superscript"/>
        </w:rPr>
        <w:footnoteReference w:id="5"/>
      </w:r>
      <w:r w:rsidRPr="0054107F">
        <w:rPr>
          <w:rFonts w:asciiTheme="majorHAnsi" w:hAnsiTheme="majorHAnsi"/>
          <w:i/>
          <w:color w:val="000000" w:themeColor="text1"/>
          <w:sz w:val="22"/>
          <w:szCs w:val="22"/>
          <w:lang w:val="bs-Latn-BA"/>
        </w:rPr>
        <w:t xml:space="preserve"> povećati broj dostupnih informacija putem upotrebe novih tehnologija, tj. uspostaviti praksu proaktivne transparentnosti kako bi se smanjio broj zahtjeva za pristup informacijama i pristup informacijama učinio efikasnijim. To bi ujedno značilo i izmjenu postojećih Zakona o slobodi pristupa informacijama ili donošenje novih zakona na svim nivoima vlasti.   </w:t>
      </w:r>
    </w:p>
    <w:p w14:paraId="33C61973" w14:textId="77777777" w:rsidR="009B4EED" w:rsidRPr="0054107F" w:rsidRDefault="009B4EED" w:rsidP="00754472">
      <w:pPr>
        <w:jc w:val="both"/>
        <w:rPr>
          <w:rFonts w:asciiTheme="majorHAnsi" w:hAnsiTheme="majorHAnsi"/>
          <w:i/>
          <w:color w:val="000000" w:themeColor="text1"/>
          <w:sz w:val="22"/>
          <w:szCs w:val="22"/>
          <w:lang w:val="bs-Latn-BA"/>
        </w:rPr>
      </w:pPr>
    </w:p>
    <w:p w14:paraId="50AC6BC4" w14:textId="77777777" w:rsidR="005277D2" w:rsidRPr="0054107F" w:rsidRDefault="005277D2" w:rsidP="00754472">
      <w:pPr>
        <w:pStyle w:val="ListParagraph"/>
        <w:jc w:val="both"/>
        <w:rPr>
          <w:rFonts w:asciiTheme="majorHAnsi" w:hAnsiTheme="majorHAnsi"/>
          <w:sz w:val="22"/>
          <w:szCs w:val="22"/>
          <w:lang w:val="bs-Latn-BA"/>
        </w:rPr>
      </w:pPr>
    </w:p>
    <w:p w14:paraId="01AF1559" w14:textId="77777777" w:rsidR="00C36F17"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Budžet i izvještavanje o budžetu</w:t>
      </w:r>
    </w:p>
    <w:p w14:paraId="34D2B453" w14:textId="77777777" w:rsidR="00787D8E" w:rsidRPr="0054107F" w:rsidRDefault="00787D8E" w:rsidP="00754472">
      <w:pPr>
        <w:jc w:val="both"/>
        <w:rPr>
          <w:rFonts w:asciiTheme="majorHAnsi" w:hAnsiTheme="majorHAnsi"/>
          <w:sz w:val="22"/>
          <w:szCs w:val="22"/>
        </w:rPr>
      </w:pPr>
    </w:p>
    <w:p w14:paraId="125CA874" w14:textId="2005153A" w:rsidR="00575EF8" w:rsidRPr="0054107F" w:rsidRDefault="00057614"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 xml:space="preserve">Na uzorku </w:t>
      </w:r>
      <w:proofErr w:type="gramStart"/>
      <w:r w:rsidRPr="0054107F">
        <w:rPr>
          <w:rFonts w:asciiTheme="majorHAnsi" w:hAnsiTheme="majorHAnsi"/>
          <w:color w:val="000000" w:themeColor="text1"/>
          <w:sz w:val="22"/>
          <w:szCs w:val="22"/>
        </w:rPr>
        <w:t>od</w:t>
      </w:r>
      <w:proofErr w:type="gramEnd"/>
      <w:r w:rsidRPr="0054107F">
        <w:rPr>
          <w:rFonts w:asciiTheme="majorHAnsi" w:hAnsiTheme="majorHAnsi"/>
          <w:color w:val="000000" w:themeColor="text1"/>
          <w:sz w:val="22"/>
          <w:szCs w:val="22"/>
        </w:rPr>
        <w:t xml:space="preserve"> 12</w:t>
      </w:r>
      <w:r w:rsidR="00575EF8" w:rsidRPr="0054107F">
        <w:rPr>
          <w:rFonts w:asciiTheme="majorHAnsi" w:hAnsiTheme="majorHAnsi"/>
          <w:color w:val="000000" w:themeColor="text1"/>
          <w:sz w:val="22"/>
          <w:szCs w:val="22"/>
        </w:rPr>
        <w:t xml:space="preserve"> institucija na državnom nivou, njih 4 objavljuju proaktivno informacije o svom budžetu. Ipak, praksa objavljivanja izvještaja i informacija o izvršenju budžeta nije prisut</w:t>
      </w:r>
      <w:r w:rsidRPr="0054107F">
        <w:rPr>
          <w:rFonts w:asciiTheme="majorHAnsi" w:hAnsiTheme="majorHAnsi"/>
          <w:color w:val="000000" w:themeColor="text1"/>
          <w:sz w:val="22"/>
          <w:szCs w:val="22"/>
        </w:rPr>
        <w:t>n</w:t>
      </w:r>
      <w:r w:rsidR="00575EF8" w:rsidRPr="0054107F">
        <w:rPr>
          <w:rFonts w:asciiTheme="majorHAnsi" w:hAnsiTheme="majorHAnsi"/>
          <w:color w:val="000000" w:themeColor="text1"/>
          <w:sz w:val="22"/>
          <w:szCs w:val="22"/>
        </w:rPr>
        <w:t xml:space="preserve">a </w:t>
      </w:r>
      <w:proofErr w:type="gramStart"/>
      <w:r w:rsidR="00575EF8" w:rsidRPr="0054107F">
        <w:rPr>
          <w:rFonts w:asciiTheme="majorHAnsi" w:hAnsiTheme="majorHAnsi"/>
          <w:color w:val="000000" w:themeColor="text1"/>
          <w:sz w:val="22"/>
          <w:szCs w:val="22"/>
        </w:rPr>
        <w:t>ni</w:t>
      </w:r>
      <w:proofErr w:type="gramEnd"/>
      <w:r w:rsidR="00575EF8" w:rsidRPr="0054107F">
        <w:rPr>
          <w:rFonts w:asciiTheme="majorHAnsi" w:hAnsiTheme="majorHAnsi"/>
          <w:color w:val="000000" w:themeColor="text1"/>
          <w:sz w:val="22"/>
          <w:szCs w:val="22"/>
        </w:rPr>
        <w:t xml:space="preserve"> kod jedne od institucija.</w:t>
      </w:r>
    </w:p>
    <w:p w14:paraId="07B71B86" w14:textId="77777777" w:rsidR="00575EF8" w:rsidRPr="0054107F" w:rsidRDefault="00575EF8" w:rsidP="00754472">
      <w:pPr>
        <w:jc w:val="both"/>
        <w:rPr>
          <w:rFonts w:asciiTheme="majorHAnsi" w:hAnsiTheme="majorHAnsi"/>
          <w:color w:val="000000" w:themeColor="text1"/>
          <w:sz w:val="22"/>
          <w:szCs w:val="22"/>
        </w:rPr>
      </w:pPr>
    </w:p>
    <w:p w14:paraId="60F68939" w14:textId="728CA7A3" w:rsidR="004E1A5C" w:rsidRPr="0054107F" w:rsidRDefault="004E1A5C" w:rsidP="004E1A5C">
      <w:pPr>
        <w:jc w:val="both"/>
        <w:rPr>
          <w:rFonts w:asciiTheme="majorHAnsi" w:hAnsiTheme="majorHAnsi"/>
          <w:sz w:val="22"/>
          <w:szCs w:val="22"/>
        </w:rPr>
      </w:pPr>
      <w:r>
        <w:rPr>
          <w:rFonts w:asciiTheme="majorHAnsi" w:hAnsiTheme="majorHAnsi"/>
          <w:sz w:val="22"/>
          <w:szCs w:val="22"/>
        </w:rPr>
        <w:t>N</w:t>
      </w:r>
      <w:r w:rsidRPr="0054107F">
        <w:rPr>
          <w:rFonts w:asciiTheme="majorHAnsi" w:hAnsiTheme="majorHAnsi"/>
          <w:sz w:val="22"/>
          <w:szCs w:val="22"/>
        </w:rPr>
        <w:t xml:space="preserve">iti jedna </w:t>
      </w:r>
      <w:proofErr w:type="gramStart"/>
      <w:r w:rsidRPr="0054107F">
        <w:rPr>
          <w:rFonts w:asciiTheme="majorHAnsi" w:hAnsiTheme="majorHAnsi"/>
          <w:sz w:val="22"/>
          <w:szCs w:val="22"/>
        </w:rPr>
        <w:t>od</w:t>
      </w:r>
      <w:proofErr w:type="gramEnd"/>
      <w:r w:rsidRPr="0054107F">
        <w:rPr>
          <w:rFonts w:asciiTheme="majorHAnsi" w:hAnsiTheme="majorHAnsi"/>
          <w:sz w:val="22"/>
          <w:szCs w:val="22"/>
        </w:rPr>
        <w:t xml:space="preserve"> 9 institucija</w:t>
      </w:r>
      <w:r>
        <w:rPr>
          <w:rFonts w:asciiTheme="majorHAnsi" w:hAnsiTheme="majorHAnsi"/>
          <w:sz w:val="22"/>
          <w:szCs w:val="22"/>
        </w:rPr>
        <w:t xml:space="preserve"> FBiH</w:t>
      </w:r>
      <w:r w:rsidRPr="0054107F">
        <w:rPr>
          <w:rFonts w:asciiTheme="majorHAnsi" w:hAnsiTheme="majorHAnsi"/>
          <w:sz w:val="22"/>
          <w:szCs w:val="22"/>
        </w:rPr>
        <w:t xml:space="preserve"> ne komunicira svoj budžet prema građanima/korisnicima, kao izvod iz Zakona o budžetu institucija ili na drugi sličan način. Iz Ureda za reviziju institucija u FBiH kao preporuku navode da je potrebno vršiti planiranje budžeta po osnovu relevantnih parametara i opravdanih potreba za sredstvima u cilju što efikasnije upotrebe odobrenih sredstava.</w:t>
      </w:r>
      <w:r w:rsidRPr="0054107F">
        <w:rPr>
          <w:rStyle w:val="FootnoteReference"/>
          <w:rFonts w:asciiTheme="majorHAnsi" w:hAnsiTheme="majorHAnsi"/>
          <w:sz w:val="22"/>
          <w:szCs w:val="22"/>
        </w:rPr>
        <w:footnoteReference w:id="6"/>
      </w:r>
      <w:r w:rsidRPr="0054107F">
        <w:rPr>
          <w:rFonts w:asciiTheme="majorHAnsi" w:hAnsiTheme="majorHAnsi"/>
          <w:sz w:val="22"/>
          <w:szCs w:val="22"/>
        </w:rPr>
        <w:t xml:space="preserve"> </w:t>
      </w:r>
    </w:p>
    <w:p w14:paraId="4C5A076E" w14:textId="77777777" w:rsidR="004E1A5C" w:rsidRDefault="004E1A5C" w:rsidP="00754472">
      <w:pPr>
        <w:jc w:val="both"/>
        <w:rPr>
          <w:rFonts w:asciiTheme="majorHAnsi" w:hAnsiTheme="majorHAnsi"/>
          <w:sz w:val="22"/>
          <w:szCs w:val="22"/>
        </w:rPr>
      </w:pPr>
    </w:p>
    <w:p w14:paraId="16A78BB2" w14:textId="6624D80C" w:rsidR="00787D8E" w:rsidRPr="0054107F" w:rsidRDefault="004E1A5C" w:rsidP="00754472">
      <w:pPr>
        <w:jc w:val="both"/>
        <w:rPr>
          <w:rFonts w:asciiTheme="majorHAnsi" w:hAnsiTheme="majorHAnsi"/>
          <w:sz w:val="22"/>
          <w:szCs w:val="22"/>
        </w:rPr>
      </w:pPr>
      <w:r w:rsidRPr="0054107F">
        <w:rPr>
          <w:rFonts w:asciiTheme="majorHAnsi" w:hAnsiTheme="majorHAnsi"/>
          <w:sz w:val="22"/>
          <w:szCs w:val="22"/>
        </w:rPr>
        <w:t xml:space="preserve">Slična je situacija i </w:t>
      </w:r>
      <w:proofErr w:type="gramStart"/>
      <w:r w:rsidRPr="0054107F">
        <w:rPr>
          <w:rFonts w:asciiTheme="majorHAnsi" w:hAnsiTheme="majorHAnsi"/>
          <w:sz w:val="22"/>
          <w:szCs w:val="22"/>
        </w:rPr>
        <w:t>na</w:t>
      </w:r>
      <w:proofErr w:type="gramEnd"/>
      <w:r w:rsidRPr="0054107F">
        <w:rPr>
          <w:rFonts w:asciiTheme="majorHAnsi" w:hAnsiTheme="majorHAnsi"/>
          <w:sz w:val="22"/>
          <w:szCs w:val="22"/>
        </w:rPr>
        <w:t xml:space="preserve"> nivou </w:t>
      </w:r>
      <w:r>
        <w:rPr>
          <w:rFonts w:asciiTheme="majorHAnsi" w:hAnsiTheme="majorHAnsi"/>
          <w:sz w:val="22"/>
          <w:szCs w:val="22"/>
        </w:rPr>
        <w:t>RS gdje n</w:t>
      </w:r>
      <w:r w:rsidR="009B4EED" w:rsidRPr="0054107F">
        <w:rPr>
          <w:rFonts w:asciiTheme="majorHAnsi" w:hAnsiTheme="majorHAnsi"/>
          <w:color w:val="000000" w:themeColor="text1"/>
          <w:sz w:val="22"/>
          <w:szCs w:val="22"/>
        </w:rPr>
        <w:t>a uzorku od 11</w:t>
      </w:r>
      <w:r w:rsidR="00787D8E" w:rsidRPr="0054107F">
        <w:rPr>
          <w:rFonts w:asciiTheme="majorHAnsi" w:hAnsiTheme="majorHAnsi"/>
          <w:color w:val="000000" w:themeColor="text1"/>
          <w:sz w:val="22"/>
          <w:szCs w:val="22"/>
        </w:rPr>
        <w:t xml:space="preserve"> institucija</w:t>
      </w:r>
      <w:r w:rsidR="009B4EED" w:rsidRPr="0054107F">
        <w:rPr>
          <w:rFonts w:asciiTheme="majorHAnsi" w:hAnsiTheme="majorHAnsi"/>
          <w:color w:val="000000" w:themeColor="text1"/>
          <w:sz w:val="22"/>
          <w:szCs w:val="22"/>
        </w:rPr>
        <w:t xml:space="preserve"> Republike Srpske</w:t>
      </w:r>
      <w:r w:rsidR="00787D8E" w:rsidRPr="0054107F">
        <w:rPr>
          <w:rFonts w:asciiTheme="majorHAnsi" w:hAnsiTheme="majorHAnsi"/>
          <w:color w:val="000000" w:themeColor="text1"/>
          <w:sz w:val="22"/>
          <w:szCs w:val="22"/>
        </w:rPr>
        <w:t xml:space="preserve"> (ovdje odgovore na o</w:t>
      </w:r>
      <w:r w:rsidR="009B4EED" w:rsidRPr="0054107F">
        <w:rPr>
          <w:rFonts w:asciiTheme="majorHAnsi" w:hAnsiTheme="majorHAnsi"/>
          <w:color w:val="000000" w:themeColor="text1"/>
          <w:sz w:val="22"/>
          <w:szCs w:val="22"/>
        </w:rPr>
        <w:t>dnosnu oblast nije dostavila Ag</w:t>
      </w:r>
      <w:r w:rsidR="00787D8E" w:rsidRPr="0054107F">
        <w:rPr>
          <w:rFonts w:asciiTheme="majorHAnsi" w:hAnsiTheme="majorHAnsi"/>
          <w:color w:val="000000" w:themeColor="text1"/>
          <w:sz w:val="22"/>
          <w:szCs w:val="22"/>
        </w:rPr>
        <w:t>e</w:t>
      </w:r>
      <w:r w:rsidR="009B4EED" w:rsidRPr="0054107F">
        <w:rPr>
          <w:rFonts w:asciiTheme="majorHAnsi" w:hAnsiTheme="majorHAnsi"/>
          <w:color w:val="000000" w:themeColor="text1"/>
          <w:sz w:val="22"/>
          <w:szCs w:val="22"/>
        </w:rPr>
        <w:t>n</w:t>
      </w:r>
      <w:r w:rsidR="00787D8E" w:rsidRPr="0054107F">
        <w:rPr>
          <w:rFonts w:asciiTheme="majorHAnsi" w:hAnsiTheme="majorHAnsi"/>
          <w:color w:val="000000" w:themeColor="text1"/>
          <w:sz w:val="22"/>
          <w:szCs w:val="22"/>
        </w:rPr>
        <w:t xml:space="preserve">cija za bankarstvo RS) samo 1 institucija, i to Ministarstvo rada i boračko-invalidske zaštite, ima praksu objave budžeta na svojim službenim web stranicama. Niti u jednoj instituciji ne postoji praksa analitičkog budžeta </w:t>
      </w:r>
      <w:proofErr w:type="gramStart"/>
      <w:r w:rsidR="00787D8E" w:rsidRPr="0054107F">
        <w:rPr>
          <w:rFonts w:asciiTheme="majorHAnsi" w:hAnsiTheme="majorHAnsi"/>
          <w:color w:val="000000" w:themeColor="text1"/>
          <w:sz w:val="22"/>
          <w:szCs w:val="22"/>
        </w:rPr>
        <w:t>ili</w:t>
      </w:r>
      <w:proofErr w:type="gramEnd"/>
      <w:r w:rsidR="00787D8E" w:rsidRPr="0054107F">
        <w:rPr>
          <w:rFonts w:asciiTheme="majorHAnsi" w:hAnsiTheme="majorHAnsi"/>
          <w:color w:val="000000" w:themeColor="text1"/>
          <w:sz w:val="22"/>
          <w:szCs w:val="22"/>
        </w:rPr>
        <w:t xml:space="preserve"> posebne prezentacije izvješaja o izvršenju budžeta, a to sve upućuje na izuzetno skrome domete u oblasti transparentnosti budžeta.</w:t>
      </w:r>
    </w:p>
    <w:p w14:paraId="34A6DEFE" w14:textId="77777777" w:rsidR="00787D8E" w:rsidRPr="0054107F" w:rsidRDefault="00787D8E" w:rsidP="00754472">
      <w:pPr>
        <w:jc w:val="both"/>
        <w:rPr>
          <w:rFonts w:asciiTheme="majorHAnsi" w:hAnsiTheme="majorHAnsi"/>
          <w:sz w:val="22"/>
          <w:szCs w:val="22"/>
        </w:rPr>
      </w:pPr>
    </w:p>
    <w:p w14:paraId="4FD716E6" w14:textId="07C3125A" w:rsidR="00787D8E" w:rsidRPr="0054107F" w:rsidRDefault="00787D8E" w:rsidP="00754472">
      <w:pPr>
        <w:jc w:val="both"/>
        <w:rPr>
          <w:rFonts w:asciiTheme="majorHAnsi" w:hAnsiTheme="majorHAnsi"/>
          <w:sz w:val="22"/>
          <w:szCs w:val="22"/>
        </w:rPr>
      </w:pPr>
      <w:r w:rsidRPr="0054107F">
        <w:rPr>
          <w:rFonts w:asciiTheme="majorHAnsi" w:hAnsiTheme="majorHAnsi"/>
          <w:sz w:val="22"/>
          <w:szCs w:val="22"/>
        </w:rPr>
        <w:t xml:space="preserve">Isto tako, niti jedna </w:t>
      </w:r>
      <w:proofErr w:type="gramStart"/>
      <w:r w:rsidRPr="0054107F">
        <w:rPr>
          <w:rFonts w:asciiTheme="majorHAnsi" w:hAnsiTheme="majorHAnsi"/>
          <w:sz w:val="22"/>
          <w:szCs w:val="22"/>
        </w:rPr>
        <w:t>od</w:t>
      </w:r>
      <w:proofErr w:type="gramEnd"/>
      <w:r w:rsidRPr="0054107F">
        <w:rPr>
          <w:rFonts w:asciiTheme="majorHAnsi" w:hAnsiTheme="majorHAnsi"/>
          <w:sz w:val="22"/>
          <w:szCs w:val="22"/>
        </w:rPr>
        <w:t xml:space="preserve"> institucija ne priprema posebnu </w:t>
      </w:r>
      <w:r w:rsidR="0075425F">
        <w:rPr>
          <w:rFonts w:asciiTheme="majorHAnsi" w:hAnsiTheme="majorHAnsi"/>
          <w:sz w:val="22"/>
          <w:szCs w:val="22"/>
        </w:rPr>
        <w:t>informaciju o budžetu</w:t>
      </w:r>
      <w:r w:rsidRPr="0054107F">
        <w:rPr>
          <w:rFonts w:asciiTheme="majorHAnsi" w:hAnsiTheme="majorHAnsi"/>
          <w:sz w:val="22"/>
          <w:szCs w:val="22"/>
        </w:rPr>
        <w:t xml:space="preserve"> (npr. Budžet za građane), niti </w:t>
      </w:r>
      <w:proofErr w:type="gramStart"/>
      <w:r w:rsidRPr="0054107F">
        <w:rPr>
          <w:rFonts w:asciiTheme="majorHAnsi" w:hAnsiTheme="majorHAnsi"/>
          <w:sz w:val="22"/>
          <w:szCs w:val="22"/>
        </w:rPr>
        <w:t>na</w:t>
      </w:r>
      <w:proofErr w:type="gramEnd"/>
      <w:r w:rsidRPr="0054107F">
        <w:rPr>
          <w:rFonts w:asciiTheme="majorHAnsi" w:hAnsiTheme="majorHAnsi"/>
          <w:sz w:val="22"/>
          <w:szCs w:val="22"/>
        </w:rPr>
        <w:t xml:space="preserve"> poseban nači</w:t>
      </w:r>
      <w:r w:rsidR="0075425F">
        <w:rPr>
          <w:rFonts w:asciiTheme="majorHAnsi" w:hAnsiTheme="majorHAnsi"/>
          <w:sz w:val="22"/>
          <w:szCs w:val="22"/>
        </w:rPr>
        <w:t>n</w:t>
      </w:r>
      <w:r w:rsidRPr="0054107F">
        <w:rPr>
          <w:rFonts w:asciiTheme="majorHAnsi" w:hAnsiTheme="majorHAnsi"/>
          <w:sz w:val="22"/>
          <w:szCs w:val="22"/>
        </w:rPr>
        <w:t xml:space="preserve"> javnosti prezentuje Izvještaj o izvršenju budžeta</w:t>
      </w:r>
      <w:r w:rsidR="0075425F">
        <w:rPr>
          <w:rFonts w:asciiTheme="majorHAnsi" w:hAnsiTheme="majorHAnsi"/>
          <w:sz w:val="22"/>
          <w:szCs w:val="22"/>
        </w:rPr>
        <w:t>,</w:t>
      </w:r>
      <w:r w:rsidRPr="0054107F">
        <w:rPr>
          <w:rFonts w:asciiTheme="majorHAnsi" w:hAnsiTheme="majorHAnsi"/>
          <w:sz w:val="22"/>
          <w:szCs w:val="22"/>
        </w:rPr>
        <w:t xml:space="preserve"> odnosno utrošku sredstava namijenjih instituciji.</w:t>
      </w:r>
    </w:p>
    <w:p w14:paraId="099653DB" w14:textId="77777777" w:rsidR="00575EF8" w:rsidRPr="0054107F" w:rsidRDefault="00575EF8" w:rsidP="00754472">
      <w:pPr>
        <w:jc w:val="both"/>
        <w:rPr>
          <w:rFonts w:asciiTheme="majorHAnsi" w:hAnsiTheme="majorHAnsi"/>
          <w:sz w:val="22"/>
          <w:szCs w:val="22"/>
        </w:rPr>
      </w:pPr>
    </w:p>
    <w:p w14:paraId="6B7DFDEA" w14:textId="6BD3176B" w:rsidR="009B4EED" w:rsidRPr="0054107F" w:rsidRDefault="009B4EED" w:rsidP="009B4EED">
      <w:pPr>
        <w:jc w:val="both"/>
        <w:rPr>
          <w:rFonts w:asciiTheme="majorHAnsi" w:hAnsiTheme="majorHAnsi"/>
          <w:i/>
          <w:sz w:val="22"/>
          <w:szCs w:val="22"/>
          <w:lang w:val="bs-Latn-BA"/>
        </w:rPr>
      </w:pPr>
      <w:r w:rsidRPr="0054107F">
        <w:rPr>
          <w:rFonts w:asciiTheme="majorHAnsi" w:hAnsiTheme="majorHAnsi"/>
          <w:b/>
          <w:sz w:val="22"/>
          <w:szCs w:val="22"/>
          <w:lang w:val="bs-Latn-BA"/>
        </w:rPr>
        <w:t xml:space="preserve">Zaključak: </w:t>
      </w:r>
      <w:r w:rsidRPr="0054107F">
        <w:rPr>
          <w:rFonts w:asciiTheme="majorHAnsi" w:hAnsiTheme="majorHAnsi"/>
          <w:i/>
          <w:sz w:val="22"/>
          <w:szCs w:val="22"/>
          <w:lang w:val="bs-Latn-BA"/>
        </w:rPr>
        <w:t>Na osnovu prikupljenih i analiziranih informacija uočljivo je nezadovoljavajuće stanje transparentosti budžeta kod većine posmatranih institucija. Kod najvećeg broja institucija prisutno je vrlo usko tumančenje zakona da sve ono što nije ekplicitno propisano kao javno, ne smatraju potrebnim</w:t>
      </w:r>
      <w:r w:rsidR="0075425F">
        <w:rPr>
          <w:rFonts w:asciiTheme="majorHAnsi" w:hAnsiTheme="majorHAnsi"/>
          <w:i/>
          <w:sz w:val="22"/>
          <w:szCs w:val="22"/>
          <w:lang w:val="bs-Latn-BA"/>
        </w:rPr>
        <w:t xml:space="preserve"> da komuniciraju sa građanima. Ipak, z</w:t>
      </w:r>
      <w:r w:rsidRPr="0054107F">
        <w:rPr>
          <w:rFonts w:asciiTheme="majorHAnsi" w:hAnsiTheme="majorHAnsi"/>
          <w:i/>
          <w:sz w:val="22"/>
          <w:szCs w:val="22"/>
          <w:lang w:val="bs-Latn-BA"/>
        </w:rPr>
        <w:t>akoni o slobodi pristupa informacijama polaze od suprotne pretpostavke, da su sve informacije javne sa vrlo usko postavljenim izuzetcima.</w:t>
      </w:r>
    </w:p>
    <w:p w14:paraId="5B82F39D" w14:textId="77777777" w:rsidR="009B4EED" w:rsidRPr="0054107F" w:rsidRDefault="009B4EED" w:rsidP="009B4EED">
      <w:pPr>
        <w:jc w:val="both"/>
        <w:rPr>
          <w:rFonts w:asciiTheme="majorHAnsi" w:hAnsiTheme="majorHAnsi"/>
          <w:i/>
          <w:sz w:val="22"/>
          <w:szCs w:val="22"/>
          <w:lang w:val="bs-Latn-BA"/>
        </w:rPr>
      </w:pPr>
    </w:p>
    <w:p w14:paraId="49C8C6BF" w14:textId="703F5D5E" w:rsidR="009B4EED" w:rsidRPr="0054107F" w:rsidRDefault="009B4EED" w:rsidP="00475C28">
      <w:pPr>
        <w:spacing w:after="240"/>
        <w:jc w:val="both"/>
        <w:rPr>
          <w:rFonts w:asciiTheme="majorHAnsi" w:hAnsiTheme="majorHAnsi"/>
          <w:i/>
          <w:sz w:val="22"/>
          <w:szCs w:val="22"/>
          <w:lang w:val="bs-Latn-BA"/>
        </w:rPr>
      </w:pPr>
      <w:r w:rsidRPr="0054107F">
        <w:rPr>
          <w:rFonts w:asciiTheme="majorHAnsi" w:hAnsiTheme="majorHAnsi"/>
          <w:b/>
          <w:sz w:val="22"/>
          <w:szCs w:val="22"/>
          <w:lang w:val="bs-Latn-BA"/>
        </w:rPr>
        <w:t xml:space="preserve">Preporuka: </w:t>
      </w:r>
      <w:r w:rsidRPr="0054107F">
        <w:rPr>
          <w:rFonts w:asciiTheme="majorHAnsi" w:hAnsiTheme="majorHAnsi"/>
          <w:i/>
          <w:sz w:val="22"/>
          <w:szCs w:val="22"/>
          <w:lang w:val="bs-Latn-BA"/>
        </w:rPr>
        <w:t xml:space="preserve">Potrebno je osigurati proaktivnu transparentost cjelokupnog budžetskog ciklusa, te ekspicitno propisati obavezu institucija da svoj budžetski ciklus komuniciraju sa javnosti u formi pristupačnoj </w:t>
      </w:r>
      <w:r w:rsidR="00E611EC">
        <w:rPr>
          <w:rFonts w:asciiTheme="majorHAnsi" w:hAnsiTheme="majorHAnsi"/>
          <w:i/>
          <w:sz w:val="22"/>
          <w:szCs w:val="22"/>
          <w:lang w:val="bs-Latn-BA"/>
        </w:rPr>
        <w:t xml:space="preserve">i razumljivoj </w:t>
      </w:r>
      <w:r w:rsidRPr="0054107F">
        <w:rPr>
          <w:rFonts w:asciiTheme="majorHAnsi" w:hAnsiTheme="majorHAnsi"/>
          <w:i/>
          <w:sz w:val="22"/>
          <w:szCs w:val="22"/>
          <w:lang w:val="bs-Latn-BA"/>
        </w:rPr>
        <w:t>građanima</w:t>
      </w:r>
      <w:r w:rsidR="00E611EC">
        <w:rPr>
          <w:rFonts w:asciiTheme="majorHAnsi" w:hAnsiTheme="majorHAnsi"/>
          <w:i/>
          <w:sz w:val="22"/>
          <w:szCs w:val="22"/>
          <w:lang w:val="bs-Latn-BA"/>
        </w:rPr>
        <w:t>.</w:t>
      </w:r>
    </w:p>
    <w:p w14:paraId="5124F9B6" w14:textId="77777777" w:rsidR="00787D8E" w:rsidRPr="0054107F" w:rsidRDefault="00787D8E" w:rsidP="00754472">
      <w:pPr>
        <w:jc w:val="both"/>
        <w:rPr>
          <w:rFonts w:asciiTheme="majorHAnsi" w:hAnsiTheme="majorHAnsi"/>
          <w:sz w:val="22"/>
          <w:szCs w:val="22"/>
          <w:lang w:val="bs-Latn-BA"/>
        </w:rPr>
      </w:pPr>
    </w:p>
    <w:p w14:paraId="128C9A21" w14:textId="77777777" w:rsidR="00C36F17"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Sistematizacija radnih mjesta</w:t>
      </w:r>
    </w:p>
    <w:p w14:paraId="65C895A0" w14:textId="77777777" w:rsidR="00624507" w:rsidRPr="0054107F" w:rsidRDefault="00624507" w:rsidP="00754472">
      <w:pPr>
        <w:jc w:val="both"/>
        <w:rPr>
          <w:rFonts w:asciiTheme="majorHAnsi" w:hAnsiTheme="majorHAnsi"/>
          <w:sz w:val="22"/>
          <w:szCs w:val="22"/>
        </w:rPr>
      </w:pPr>
    </w:p>
    <w:p w14:paraId="3701A3C1" w14:textId="3704E8B0" w:rsidR="005E245A" w:rsidRDefault="00201C00"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Na državnom nivou na posmatranom</w:t>
      </w:r>
      <w:r w:rsidR="00057614" w:rsidRPr="0054107F">
        <w:rPr>
          <w:rFonts w:asciiTheme="majorHAnsi" w:hAnsiTheme="majorHAnsi"/>
          <w:color w:val="000000" w:themeColor="text1"/>
          <w:sz w:val="22"/>
          <w:szCs w:val="22"/>
          <w:lang w:val="bs-Latn-BA"/>
        </w:rPr>
        <w:t xml:space="preserve"> uzorku</w:t>
      </w:r>
      <w:r w:rsidR="00E611EC">
        <w:rPr>
          <w:rFonts w:asciiTheme="majorHAnsi" w:hAnsiTheme="majorHAnsi"/>
          <w:color w:val="000000" w:themeColor="text1"/>
          <w:sz w:val="22"/>
          <w:szCs w:val="22"/>
          <w:lang w:val="bs-Latn-BA"/>
        </w:rPr>
        <w:t xml:space="preserve"> od 12</w:t>
      </w:r>
      <w:r w:rsidR="00057614" w:rsidRPr="0054107F">
        <w:rPr>
          <w:rFonts w:asciiTheme="majorHAnsi" w:hAnsiTheme="majorHAnsi"/>
          <w:color w:val="000000" w:themeColor="text1"/>
          <w:sz w:val="22"/>
          <w:szCs w:val="22"/>
          <w:lang w:val="bs-Latn-BA"/>
        </w:rPr>
        <w:t xml:space="preserve"> institucija njih 8 </w:t>
      </w:r>
      <w:r w:rsidRPr="0054107F">
        <w:rPr>
          <w:rFonts w:asciiTheme="majorHAnsi" w:hAnsiTheme="majorHAnsi"/>
          <w:color w:val="000000" w:themeColor="text1"/>
          <w:sz w:val="22"/>
          <w:szCs w:val="22"/>
          <w:lang w:val="bs-Latn-BA"/>
        </w:rPr>
        <w:t>nema objavljenu sistematizaciju radnih m</w:t>
      </w:r>
      <w:r w:rsidR="00E611EC">
        <w:rPr>
          <w:rFonts w:asciiTheme="majorHAnsi" w:hAnsiTheme="majorHAnsi"/>
          <w:color w:val="000000" w:themeColor="text1"/>
          <w:sz w:val="22"/>
          <w:szCs w:val="22"/>
          <w:lang w:val="bs-Latn-BA"/>
        </w:rPr>
        <w:t>jesta. Niti jedna od analiziranih</w:t>
      </w:r>
      <w:r w:rsidRPr="0054107F">
        <w:rPr>
          <w:rFonts w:asciiTheme="majorHAnsi" w:hAnsiTheme="majorHAnsi"/>
          <w:color w:val="000000" w:themeColor="text1"/>
          <w:sz w:val="22"/>
          <w:szCs w:val="22"/>
          <w:lang w:val="bs-Latn-BA"/>
        </w:rPr>
        <w:t xml:space="preserve"> institucija nema popunjena radna mjesta u skladu sa predviđenom sistematizacijom</w:t>
      </w:r>
      <w:r w:rsidR="00524F3F" w:rsidRPr="0054107F">
        <w:rPr>
          <w:rFonts w:asciiTheme="majorHAnsi" w:hAnsiTheme="majorHAnsi"/>
          <w:color w:val="000000" w:themeColor="text1"/>
          <w:sz w:val="22"/>
          <w:szCs w:val="22"/>
          <w:lang w:val="bs-Latn-BA"/>
        </w:rPr>
        <w:t xml:space="preserve">, dok </w:t>
      </w:r>
      <w:r w:rsidR="00E611EC">
        <w:rPr>
          <w:rFonts w:asciiTheme="majorHAnsi" w:hAnsiTheme="majorHAnsi"/>
          <w:color w:val="000000" w:themeColor="text1"/>
          <w:sz w:val="22"/>
          <w:szCs w:val="22"/>
          <w:lang w:val="bs-Latn-BA"/>
        </w:rPr>
        <w:t xml:space="preserve">su u 5 institucija </w:t>
      </w:r>
      <w:r w:rsidR="00524F3F" w:rsidRPr="0054107F">
        <w:rPr>
          <w:rFonts w:asciiTheme="majorHAnsi" w:hAnsiTheme="majorHAnsi"/>
          <w:color w:val="000000" w:themeColor="text1"/>
          <w:sz w:val="22"/>
          <w:szCs w:val="22"/>
          <w:lang w:val="bs-Latn-BA"/>
        </w:rPr>
        <w:t>mišljenja da predviđena sistematizacija ne odgovara stvarnim potrebama institucije</w:t>
      </w:r>
      <w:r w:rsidRPr="0054107F">
        <w:rPr>
          <w:rFonts w:asciiTheme="majorHAnsi" w:hAnsiTheme="majorHAnsi"/>
          <w:color w:val="000000" w:themeColor="text1"/>
          <w:sz w:val="22"/>
          <w:szCs w:val="22"/>
          <w:lang w:val="bs-Latn-BA"/>
        </w:rPr>
        <w:t>.</w:t>
      </w:r>
      <w:r w:rsidR="00524F3F" w:rsidRPr="0054107F">
        <w:rPr>
          <w:rFonts w:asciiTheme="majorHAnsi" w:hAnsiTheme="majorHAnsi"/>
          <w:color w:val="000000" w:themeColor="text1"/>
          <w:sz w:val="22"/>
          <w:szCs w:val="22"/>
          <w:lang w:val="bs-Latn-BA"/>
        </w:rPr>
        <w:t xml:space="preserve"> Na osnovu dostupnih podataka do izmjena sistematizacija </w:t>
      </w:r>
      <w:r w:rsidR="00E611EC" w:rsidRPr="0054107F">
        <w:rPr>
          <w:rFonts w:asciiTheme="majorHAnsi" w:hAnsiTheme="majorHAnsi"/>
          <w:color w:val="000000" w:themeColor="text1"/>
          <w:sz w:val="22"/>
          <w:szCs w:val="22"/>
          <w:lang w:val="bs-Latn-BA"/>
        </w:rPr>
        <w:t xml:space="preserve">u prosjeku </w:t>
      </w:r>
      <w:r w:rsidR="00524F3F" w:rsidRPr="0054107F">
        <w:rPr>
          <w:rFonts w:asciiTheme="majorHAnsi" w:hAnsiTheme="majorHAnsi"/>
          <w:color w:val="000000" w:themeColor="text1"/>
          <w:sz w:val="22"/>
          <w:szCs w:val="22"/>
          <w:lang w:val="bs-Latn-BA"/>
        </w:rPr>
        <w:t>dolazi svake 3 godine.</w:t>
      </w:r>
    </w:p>
    <w:p w14:paraId="22E008F6" w14:textId="77777777" w:rsidR="003D46B6" w:rsidRDefault="003D46B6" w:rsidP="00754472">
      <w:pPr>
        <w:jc w:val="both"/>
        <w:rPr>
          <w:rFonts w:asciiTheme="majorHAnsi" w:hAnsiTheme="majorHAnsi"/>
          <w:color w:val="000000" w:themeColor="text1"/>
          <w:sz w:val="22"/>
          <w:szCs w:val="22"/>
          <w:lang w:val="bs-Latn-BA"/>
        </w:rPr>
      </w:pPr>
    </w:p>
    <w:p w14:paraId="1887BAB2" w14:textId="13242546" w:rsidR="003D46B6" w:rsidRPr="0054107F" w:rsidRDefault="003D46B6" w:rsidP="003D46B6">
      <w:pPr>
        <w:tabs>
          <w:tab w:val="left" w:pos="6600"/>
        </w:tabs>
        <w:jc w:val="both"/>
        <w:rPr>
          <w:rFonts w:asciiTheme="majorHAnsi" w:hAnsiTheme="majorHAnsi"/>
          <w:sz w:val="22"/>
          <w:szCs w:val="22"/>
          <w:lang w:val="bs-Latn-BA"/>
        </w:rPr>
      </w:pPr>
      <w:r w:rsidRPr="0054107F">
        <w:rPr>
          <w:rFonts w:asciiTheme="majorHAnsi" w:hAnsiTheme="majorHAnsi"/>
          <w:sz w:val="22"/>
          <w:szCs w:val="22"/>
          <w:lang w:val="bs-Latn-BA"/>
        </w:rPr>
        <w:lastRenderedPageBreak/>
        <w:t xml:space="preserve">Na posmatranom uzorku od 9 institucija </w:t>
      </w:r>
      <w:r w:rsidR="00E84F8A">
        <w:rPr>
          <w:rFonts w:asciiTheme="majorHAnsi" w:hAnsiTheme="majorHAnsi"/>
          <w:sz w:val="22"/>
          <w:szCs w:val="22"/>
          <w:lang w:val="bs-Latn-BA"/>
        </w:rPr>
        <w:t>F</w:t>
      </w:r>
      <w:r w:rsidRPr="0054107F">
        <w:rPr>
          <w:rFonts w:asciiTheme="majorHAnsi" w:hAnsiTheme="majorHAnsi"/>
          <w:sz w:val="22"/>
          <w:szCs w:val="22"/>
          <w:lang w:val="bs-Latn-BA"/>
        </w:rPr>
        <w:t>BiH, niti jedna sistematizacija radnih mjesta nije javno dostupna. U upitnicima koje su 4 institucije dostavile naznačeno je da su sistematizacije radnih mjesta javno dostupne na njihovim web stranicama ali se na istim nalaze organigrami, nabrojane rukovodeće funkcije ili opisi istih ali ne i sistematizacije radnih mjesta što je indikator nerazumijevanja ili izbjegavanja javne objave traženog dokumenta. Niti jedna institucija nema popunjena sva radna mjesta predviđena sistematizacijom i ista je podložna promjena. Na posmatranom uzorku od 9 institucija u 8 institucija FBiH nije bil</w:t>
      </w:r>
      <w:r w:rsidR="00E84F8A">
        <w:rPr>
          <w:rFonts w:asciiTheme="majorHAnsi" w:hAnsiTheme="majorHAnsi"/>
          <w:sz w:val="22"/>
          <w:szCs w:val="22"/>
          <w:lang w:val="bs-Latn-BA"/>
        </w:rPr>
        <w:t>o izmjene sistematizacije radnih</w:t>
      </w:r>
      <w:r w:rsidRPr="0054107F">
        <w:rPr>
          <w:rFonts w:asciiTheme="majorHAnsi" w:hAnsiTheme="majorHAnsi"/>
          <w:sz w:val="22"/>
          <w:szCs w:val="22"/>
          <w:lang w:val="bs-Latn-BA"/>
        </w:rPr>
        <w:t xml:space="preserve"> mjesta u zadnjih dvije do tri godine. </w:t>
      </w:r>
      <w:r w:rsidR="00E84F8A">
        <w:rPr>
          <w:rFonts w:asciiTheme="majorHAnsi" w:hAnsiTheme="majorHAnsi"/>
          <w:sz w:val="22"/>
          <w:szCs w:val="22"/>
          <w:lang w:val="bs-Latn-BA"/>
        </w:rPr>
        <w:t>U</w:t>
      </w:r>
      <w:r w:rsidRPr="0054107F">
        <w:rPr>
          <w:rFonts w:asciiTheme="majorHAnsi" w:hAnsiTheme="majorHAnsi"/>
          <w:sz w:val="22"/>
          <w:szCs w:val="22"/>
          <w:lang w:val="bs-Latn-BA"/>
        </w:rPr>
        <w:t xml:space="preserve"> FBiH je samo jedna institucija (11% posamtranog uzorka) mijenjala svoju sistematizaciju jednom godišnje uz naznaku da se ista mijenja po potrebi. U 8 institucija zabilježeno čak 683 upražnjena radna mjesta, </w:t>
      </w:r>
      <w:r w:rsidRPr="0054107F">
        <w:rPr>
          <w:rFonts w:asciiTheme="majorHAnsi" w:hAnsiTheme="majorHAnsi"/>
          <w:color w:val="000000" w:themeColor="text1"/>
          <w:sz w:val="22"/>
          <w:szCs w:val="22"/>
          <w:lang w:val="bs-Latn-BA"/>
        </w:rPr>
        <w:t xml:space="preserve">pa na 1 instituciju </w:t>
      </w:r>
      <w:r w:rsidRPr="0054107F">
        <w:rPr>
          <w:rFonts w:asciiTheme="majorHAnsi" w:hAnsiTheme="majorHAnsi"/>
          <w:sz w:val="22"/>
          <w:szCs w:val="22"/>
          <w:lang w:val="bs-Latn-BA"/>
        </w:rPr>
        <w:t xml:space="preserve">dolazi više od 85 upražnjenih radnih mjesta. Ovo je već ozbiljan signal da se je vrijeme za </w:t>
      </w:r>
      <w:r w:rsidRPr="0054107F">
        <w:rPr>
          <w:rFonts w:asciiTheme="majorHAnsi" w:hAnsiTheme="majorHAnsi"/>
          <w:color w:val="000000" w:themeColor="text1"/>
          <w:sz w:val="22"/>
          <w:szCs w:val="22"/>
          <w:lang w:val="bs-Latn-BA"/>
        </w:rPr>
        <w:t>promjene sistematizacije radnih mjesta s ciljem kreiranja efikasnijeg i efektivnijeg aparata javne uprave, to ne mora nužno implicirati novo zapošljavanje nego preraspodjelu radnih zadataka. Upravo su i iz Ured za reviziju kao preporuku za institucije u svojim izvještajima</w:t>
      </w:r>
      <w:r w:rsidRPr="0054107F">
        <w:rPr>
          <w:rStyle w:val="FootnoteReference"/>
          <w:rFonts w:asciiTheme="majorHAnsi" w:hAnsiTheme="majorHAnsi"/>
          <w:color w:val="000000" w:themeColor="text1"/>
          <w:sz w:val="22"/>
          <w:szCs w:val="22"/>
        </w:rPr>
        <w:footnoteReference w:id="7"/>
      </w:r>
      <w:r w:rsidRPr="0054107F">
        <w:rPr>
          <w:rFonts w:asciiTheme="majorHAnsi" w:hAnsiTheme="majorHAnsi"/>
          <w:color w:val="000000" w:themeColor="text1"/>
          <w:sz w:val="22"/>
          <w:szCs w:val="22"/>
          <w:lang w:val="bs-Latn-BA"/>
        </w:rPr>
        <w:t xml:space="preserve"> naveli i preispitivanje Pravilnika o unutrašnjoj organizaciji u cilju uspostavljanja optimalnog broja uposlenih za obavljanje poslova iz nadležnosti te instiucije, kao i popunjenosti ključnih radnih mjesta i sukladno tome planirati i vršiti zapošljavanje. U</w:t>
      </w:r>
      <w:r w:rsidRPr="0054107F">
        <w:rPr>
          <w:rFonts w:asciiTheme="majorHAnsi" w:hAnsiTheme="majorHAnsi"/>
          <w:sz w:val="22"/>
          <w:szCs w:val="22"/>
          <w:lang w:val="bs-Latn-BA"/>
        </w:rPr>
        <w:t xml:space="preserve"> isto vrijeme iznenađujući je bio i podatak da u 3 institucije FBiH, što je više od 33% naliziranih Institucija, sistematizacija radnih mjesta zadovoljava trenutne potrebe za radnom snagom.</w:t>
      </w:r>
    </w:p>
    <w:p w14:paraId="7BED90E3" w14:textId="77777777" w:rsidR="00E84F8A" w:rsidRDefault="00E84F8A" w:rsidP="00754472">
      <w:pPr>
        <w:jc w:val="both"/>
        <w:rPr>
          <w:rFonts w:asciiTheme="majorHAnsi" w:hAnsiTheme="majorHAnsi"/>
          <w:sz w:val="22"/>
          <w:szCs w:val="22"/>
          <w:lang w:val="bs-Latn-BA"/>
        </w:rPr>
      </w:pPr>
    </w:p>
    <w:p w14:paraId="017E5B09" w14:textId="19543737" w:rsidR="005B2DF8" w:rsidRPr="0054107F" w:rsidRDefault="00E84F8A" w:rsidP="00754472">
      <w:pPr>
        <w:jc w:val="both"/>
        <w:rPr>
          <w:rFonts w:asciiTheme="majorHAnsi" w:hAnsiTheme="majorHAnsi"/>
          <w:color w:val="000000" w:themeColor="text1"/>
          <w:sz w:val="22"/>
          <w:szCs w:val="22"/>
          <w:lang w:val="bs-Latn-BA"/>
        </w:rPr>
      </w:pPr>
      <w:r w:rsidRPr="0054107F">
        <w:rPr>
          <w:rFonts w:asciiTheme="majorHAnsi" w:hAnsiTheme="majorHAnsi"/>
          <w:sz w:val="22"/>
          <w:szCs w:val="22"/>
          <w:lang w:val="bs-Latn-BA"/>
        </w:rPr>
        <w:t xml:space="preserve">Za razliku od nalaza monitoringa </w:t>
      </w:r>
      <w:r>
        <w:rPr>
          <w:rFonts w:asciiTheme="majorHAnsi" w:hAnsiTheme="majorHAnsi"/>
          <w:sz w:val="22"/>
          <w:szCs w:val="22"/>
          <w:lang w:val="bs-Latn-BA"/>
        </w:rPr>
        <w:t>u FBiH, u RS</w:t>
      </w:r>
      <w:r w:rsidR="005B2DF8" w:rsidRPr="0054107F">
        <w:rPr>
          <w:rFonts w:asciiTheme="majorHAnsi" w:hAnsiTheme="majorHAnsi"/>
          <w:color w:val="000000" w:themeColor="text1"/>
          <w:sz w:val="22"/>
          <w:szCs w:val="22"/>
          <w:lang w:val="bs-Latn-BA"/>
        </w:rPr>
        <w:t xml:space="preserve"> izmjene sistematizacije radnih mjesta su vrlo učestale, a izmjene sistematizacija se prema podacima iz monitorina vrše u prosjeku jednom godišnje ili jednom u dvije godine. Sličan podatak se nalazi i u Izvještaju revizije učinka Zapošljavanje u javnoj upravi Glavne službe za reviziju javnog sektora Republike Srpske za period 2011</w:t>
      </w:r>
      <w:r w:rsidR="006803B6">
        <w:rPr>
          <w:rFonts w:asciiTheme="majorHAnsi" w:hAnsiTheme="majorHAnsi"/>
          <w:color w:val="000000" w:themeColor="text1"/>
          <w:sz w:val="22"/>
          <w:szCs w:val="22"/>
          <w:lang w:val="bs-Latn-BA"/>
        </w:rPr>
        <w:t xml:space="preserve">. </w:t>
      </w:r>
      <w:r w:rsidR="005B2DF8" w:rsidRPr="0054107F">
        <w:rPr>
          <w:rFonts w:asciiTheme="majorHAnsi" w:hAnsiTheme="majorHAnsi"/>
          <w:color w:val="000000" w:themeColor="text1"/>
          <w:sz w:val="22"/>
          <w:szCs w:val="22"/>
          <w:lang w:val="bs-Latn-BA"/>
        </w:rPr>
        <w:t>-</w:t>
      </w:r>
      <w:r w:rsidR="006803B6">
        <w:rPr>
          <w:rFonts w:asciiTheme="majorHAnsi" w:hAnsiTheme="majorHAnsi"/>
          <w:color w:val="000000" w:themeColor="text1"/>
          <w:sz w:val="22"/>
          <w:szCs w:val="22"/>
          <w:lang w:val="bs-Latn-BA"/>
        </w:rPr>
        <w:t xml:space="preserve"> </w:t>
      </w:r>
      <w:r w:rsidR="005B2DF8" w:rsidRPr="0054107F">
        <w:rPr>
          <w:rFonts w:asciiTheme="majorHAnsi" w:hAnsiTheme="majorHAnsi"/>
          <w:color w:val="000000" w:themeColor="text1"/>
          <w:sz w:val="22"/>
          <w:szCs w:val="22"/>
          <w:lang w:val="bs-Latn-BA"/>
        </w:rPr>
        <w:t xml:space="preserve">2013. godina gdje se navodi kako se radi aktu srednjoročnog karakera koji se najčešće mijenja nakon dvije godine, ali sa izmjenama između što potvrđuje i naš monitoring. </w:t>
      </w:r>
      <w:r w:rsidR="005B2DF8" w:rsidRPr="0054107F">
        <w:rPr>
          <w:rFonts w:asciiTheme="majorHAnsi" w:hAnsiTheme="majorHAnsi"/>
          <w:color w:val="000000" w:themeColor="text1"/>
          <w:sz w:val="22"/>
          <w:szCs w:val="22"/>
          <w:vertAlign w:val="superscript"/>
          <w:lang w:val="bs-Latn-BA"/>
        </w:rPr>
        <w:footnoteReference w:id="8"/>
      </w:r>
      <w:r>
        <w:rPr>
          <w:rFonts w:asciiTheme="majorHAnsi" w:hAnsiTheme="majorHAnsi"/>
          <w:color w:val="000000" w:themeColor="text1"/>
          <w:sz w:val="22"/>
          <w:szCs w:val="22"/>
          <w:lang w:val="bs-Latn-BA"/>
        </w:rPr>
        <w:t xml:space="preserve"> </w:t>
      </w:r>
      <w:r w:rsidR="005B2DF8" w:rsidRPr="0054107F">
        <w:rPr>
          <w:rFonts w:asciiTheme="majorHAnsi" w:hAnsiTheme="majorHAnsi"/>
          <w:color w:val="000000" w:themeColor="text1"/>
          <w:sz w:val="22"/>
          <w:szCs w:val="22"/>
          <w:lang w:val="bs-Latn-BA"/>
        </w:rPr>
        <w:t xml:space="preserve">Imajući u vidu da se obim poslova odnosno nadležnosti institucija koje su predmet monitoring nije značajnije mijenjao, postavlja se opravdano pitanje razloga ovako učestalih izmjena sistematizacija. Takođe, zabilježena su 364 upražnjena radna mjesta na uzorku od 11 institucija, pa na 1 instituciju dolazi 33 upražnjena radna mjesta, a na nivou RS samo 1 institucija od 11 monitorisanih ima dostupnu sistematizaciju na svojoj službenoj web stranici. Prema navedenom revizorskom izvještaju </w:t>
      </w:r>
      <w:r w:rsidR="005B2DF8" w:rsidRPr="0054107F">
        <w:rPr>
          <w:rFonts w:asciiTheme="majorHAnsi" w:hAnsiTheme="majorHAnsi"/>
          <w:color w:val="000000" w:themeColor="text1"/>
          <w:sz w:val="22"/>
          <w:szCs w:val="22"/>
          <w:vertAlign w:val="superscript"/>
          <w:lang w:val="bs-Latn-BA"/>
        </w:rPr>
        <w:footnoteReference w:id="9"/>
      </w:r>
      <w:r w:rsidR="005B2DF8" w:rsidRPr="0054107F">
        <w:rPr>
          <w:rFonts w:asciiTheme="majorHAnsi" w:hAnsiTheme="majorHAnsi"/>
          <w:color w:val="000000" w:themeColor="text1"/>
          <w:sz w:val="22"/>
          <w:szCs w:val="22"/>
          <w:lang w:val="bs-Latn-BA"/>
        </w:rPr>
        <w:t xml:space="preserve"> u ministarstvima (koji </w:t>
      </w:r>
      <w:r w:rsidR="009B4EED" w:rsidRPr="0054107F">
        <w:rPr>
          <w:rFonts w:asciiTheme="majorHAnsi" w:hAnsiTheme="majorHAnsi"/>
          <w:color w:val="000000" w:themeColor="text1"/>
          <w:sz w:val="22"/>
          <w:szCs w:val="22"/>
          <w:lang w:val="bs-Latn-BA"/>
        </w:rPr>
        <w:t>su bili predmetom ovog monitoringa</w:t>
      </w:r>
      <w:r w:rsidR="005B2DF8" w:rsidRPr="0054107F">
        <w:rPr>
          <w:rFonts w:asciiTheme="majorHAnsi" w:hAnsiTheme="majorHAnsi"/>
          <w:color w:val="000000" w:themeColor="text1"/>
          <w:sz w:val="22"/>
          <w:szCs w:val="22"/>
          <w:lang w:val="bs-Latn-BA"/>
        </w:rPr>
        <w:t xml:space="preserve">) skoro jedna trećina sistematizovanih mjesta je nepopunjena, a popunjavanje i pokrivanje predviđenih poslova dijelom se vrši prijemom uposlenik na određeno radno vrijeme. No, i pored toga, u prosjesku jedna četvrtina sistematizovanih radnih mjesta je nepopunjena. Revizorski nalazi ukazuju da iznadprosječnu nepopunjenost u okviru svih kategorija zaposlenih imaju radna mjesta državnih službenika sa visokom stručnom spremom. </w:t>
      </w:r>
      <w:r w:rsidR="005B2DF8" w:rsidRPr="0054107F">
        <w:rPr>
          <w:rFonts w:asciiTheme="majorHAnsi" w:hAnsiTheme="majorHAnsi"/>
          <w:color w:val="000000" w:themeColor="text1"/>
          <w:sz w:val="22"/>
          <w:szCs w:val="22"/>
          <w:vertAlign w:val="superscript"/>
          <w:lang w:val="bs-Latn-BA"/>
        </w:rPr>
        <w:footnoteReference w:id="10"/>
      </w:r>
      <w:r w:rsidR="005B2DF8" w:rsidRPr="0054107F">
        <w:rPr>
          <w:rFonts w:asciiTheme="majorHAnsi" w:hAnsiTheme="majorHAnsi"/>
          <w:color w:val="000000" w:themeColor="text1"/>
          <w:sz w:val="22"/>
          <w:szCs w:val="22"/>
          <w:lang w:val="bs-Latn-BA"/>
        </w:rPr>
        <w:t xml:space="preserve"> Vlada je donijela zaključak krajem 2011. godine prema kojem razlika između sistematizovanih i zaposlenih izvršilaca može iznostiti svega 5 %, ali on nije poštovan. Sudeći prema datim podacima i aktuelnoj sistematizaciji, akutni problem u kadrovskoj politici je nedostatak ljudskih kapaciteta, dok je uvriježeno mišljenje da javna uprava pati od prekob</w:t>
      </w:r>
      <w:r w:rsidR="009B4EED" w:rsidRPr="0054107F">
        <w:rPr>
          <w:rFonts w:asciiTheme="majorHAnsi" w:hAnsiTheme="majorHAnsi"/>
          <w:color w:val="000000" w:themeColor="text1"/>
          <w:sz w:val="22"/>
          <w:szCs w:val="22"/>
          <w:lang w:val="bs-Latn-BA"/>
        </w:rPr>
        <w:t>rojnog broja uposlenika. Preciznije, to otva</w:t>
      </w:r>
      <w:r w:rsidR="005B2DF8" w:rsidRPr="0054107F">
        <w:rPr>
          <w:rFonts w:asciiTheme="majorHAnsi" w:hAnsiTheme="majorHAnsi"/>
          <w:color w:val="000000" w:themeColor="text1"/>
          <w:sz w:val="22"/>
          <w:szCs w:val="22"/>
          <w:lang w:val="bs-Latn-BA"/>
        </w:rPr>
        <w:t xml:space="preserve">ra pitanje o kvalitetu predviđenih sistematizacija i </w:t>
      </w:r>
      <w:r w:rsidR="009B4EED" w:rsidRPr="0054107F">
        <w:rPr>
          <w:rFonts w:asciiTheme="majorHAnsi" w:hAnsiTheme="majorHAnsi"/>
          <w:color w:val="000000" w:themeColor="text1"/>
          <w:sz w:val="22"/>
          <w:szCs w:val="22"/>
          <w:lang w:val="bs-Latn-BA"/>
        </w:rPr>
        <w:t>koliko one uzimaju dovoljno u o</w:t>
      </w:r>
      <w:r w:rsidR="005B2DF8" w:rsidRPr="0054107F">
        <w:rPr>
          <w:rFonts w:asciiTheme="majorHAnsi" w:hAnsiTheme="majorHAnsi"/>
          <w:color w:val="000000" w:themeColor="text1"/>
          <w:sz w:val="22"/>
          <w:szCs w:val="22"/>
          <w:lang w:val="bs-Latn-BA"/>
        </w:rPr>
        <w:t>b</w:t>
      </w:r>
      <w:r w:rsidR="009B4EED" w:rsidRPr="0054107F">
        <w:rPr>
          <w:rFonts w:asciiTheme="majorHAnsi" w:hAnsiTheme="majorHAnsi"/>
          <w:color w:val="000000" w:themeColor="text1"/>
          <w:sz w:val="22"/>
          <w:szCs w:val="22"/>
          <w:lang w:val="bs-Latn-BA"/>
        </w:rPr>
        <w:t>z</w:t>
      </w:r>
      <w:r w:rsidR="005B2DF8" w:rsidRPr="0054107F">
        <w:rPr>
          <w:rFonts w:asciiTheme="majorHAnsi" w:hAnsiTheme="majorHAnsi"/>
          <w:color w:val="000000" w:themeColor="text1"/>
          <w:sz w:val="22"/>
          <w:szCs w:val="22"/>
          <w:lang w:val="bs-Latn-BA"/>
        </w:rPr>
        <w:t>ir učinkovitost u radu, princip racionalosti i efikasnosti u radu javne uprave. I ovdje je citirani revizorski izvješaj o zapošljavanju u javnoj upravi za period 2011-2013. godina iznio slične zaključke, a posebno vr</w:t>
      </w:r>
      <w:r>
        <w:rPr>
          <w:rFonts w:asciiTheme="majorHAnsi" w:hAnsiTheme="majorHAnsi"/>
          <w:color w:val="000000" w:themeColor="text1"/>
          <w:sz w:val="22"/>
          <w:szCs w:val="22"/>
          <w:lang w:val="bs-Latn-BA"/>
        </w:rPr>
        <w:t>ijedna pomena i pažnje jeste sl</w:t>
      </w:r>
      <w:r w:rsidR="005B2DF8" w:rsidRPr="0054107F">
        <w:rPr>
          <w:rFonts w:asciiTheme="majorHAnsi" w:hAnsiTheme="majorHAnsi"/>
          <w:color w:val="000000" w:themeColor="text1"/>
          <w:sz w:val="22"/>
          <w:szCs w:val="22"/>
          <w:lang w:val="bs-Latn-BA"/>
        </w:rPr>
        <w:t xml:space="preserve">jedeća napomena: „U odnosu na definisanih 5% maksimalnog odstupanja broja sistematizovanih i popunjenih radnih radnih mjesta, ostvareno odstupanje je višestruko veće. Takav odnos može ukazivati ili na </w:t>
      </w:r>
    </w:p>
    <w:p w14:paraId="5C121800" w14:textId="77777777" w:rsidR="009B4EED" w:rsidRPr="0054107F" w:rsidRDefault="009B4EED" w:rsidP="00754472">
      <w:pPr>
        <w:jc w:val="both"/>
        <w:rPr>
          <w:rFonts w:asciiTheme="majorHAnsi" w:hAnsiTheme="majorHAnsi"/>
          <w:color w:val="000000" w:themeColor="text1"/>
          <w:sz w:val="22"/>
          <w:szCs w:val="22"/>
          <w:lang w:val="bs-Latn-BA"/>
        </w:rPr>
      </w:pPr>
    </w:p>
    <w:p w14:paraId="6777299B" w14:textId="77777777" w:rsidR="005B2DF8" w:rsidRPr="0054107F" w:rsidRDefault="005B2DF8" w:rsidP="00754472">
      <w:pPr>
        <w:numPr>
          <w:ilvl w:val="0"/>
          <w:numId w:val="10"/>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lastRenderedPageBreak/>
        <w:t>Visoku predimenzioniranost Sistematizacija u odnosu na stvarne potrebe posla,  ili,</w:t>
      </w:r>
    </w:p>
    <w:p w14:paraId="61840822" w14:textId="2A103363" w:rsidR="005B2DF8" w:rsidRPr="0054107F" w:rsidRDefault="005B2DF8" w:rsidP="00754472">
      <w:pPr>
        <w:numPr>
          <w:ilvl w:val="0"/>
          <w:numId w:val="10"/>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na neizvršavanje poslova prema potrebnom obimu, kvalitetu i roku.</w:t>
      </w:r>
      <w:r w:rsidR="00E84F8A">
        <w:rPr>
          <w:rFonts w:asciiTheme="majorHAnsi" w:hAnsiTheme="majorHAnsi"/>
          <w:color w:val="000000" w:themeColor="text1"/>
          <w:sz w:val="22"/>
          <w:szCs w:val="22"/>
          <w:lang w:val="bs-Latn-BA"/>
        </w:rPr>
        <w:t>“</w:t>
      </w:r>
      <w:r w:rsidRPr="0054107F">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vertAlign w:val="superscript"/>
          <w:lang w:val="bs-Latn-BA"/>
        </w:rPr>
        <w:footnoteReference w:id="11"/>
      </w:r>
    </w:p>
    <w:p w14:paraId="2CCC2A61" w14:textId="77777777" w:rsidR="00CB68C8" w:rsidRPr="0054107F" w:rsidRDefault="00CB68C8" w:rsidP="00754472">
      <w:pPr>
        <w:jc w:val="both"/>
        <w:rPr>
          <w:rFonts w:asciiTheme="majorHAnsi" w:hAnsiTheme="majorHAnsi"/>
          <w:color w:val="000000" w:themeColor="text1"/>
          <w:sz w:val="22"/>
          <w:szCs w:val="22"/>
          <w:lang w:val="bs-Latn-BA"/>
        </w:rPr>
      </w:pPr>
    </w:p>
    <w:p w14:paraId="3492C95D" w14:textId="64ADD74A" w:rsidR="009B4EED" w:rsidRPr="009B4EED" w:rsidRDefault="009B4EED" w:rsidP="009B4EED">
      <w:pPr>
        <w:jc w:val="both"/>
        <w:rPr>
          <w:rFonts w:asciiTheme="majorHAnsi" w:eastAsia="Calibri" w:hAnsiTheme="majorHAnsi" w:cs="Times New Roman"/>
          <w:i/>
          <w:sz w:val="22"/>
          <w:szCs w:val="22"/>
          <w:lang w:val="bs-Latn-BA"/>
        </w:rPr>
      </w:pPr>
      <w:r w:rsidRPr="009B4EED">
        <w:rPr>
          <w:rFonts w:asciiTheme="majorHAnsi" w:eastAsia="Calibri" w:hAnsiTheme="majorHAnsi" w:cs="Times New Roman"/>
          <w:b/>
          <w:sz w:val="22"/>
          <w:szCs w:val="22"/>
          <w:lang w:val="bs-Latn-BA"/>
        </w:rPr>
        <w:t>Zaključak:</w:t>
      </w:r>
      <w:r w:rsidRPr="009B4EED">
        <w:rPr>
          <w:rFonts w:asciiTheme="majorHAnsi" w:eastAsia="Calibri" w:hAnsiTheme="majorHAnsi" w:cs="Times New Roman"/>
          <w:i/>
          <w:sz w:val="22"/>
          <w:szCs w:val="22"/>
          <w:lang w:val="bs-Latn-BA"/>
        </w:rPr>
        <w:t xml:space="preserve"> Zabrinjavajuće </w:t>
      </w:r>
      <w:r w:rsidR="006803B6">
        <w:rPr>
          <w:rFonts w:asciiTheme="majorHAnsi" w:eastAsia="Calibri" w:hAnsiTheme="majorHAnsi" w:cs="Times New Roman"/>
          <w:i/>
          <w:sz w:val="22"/>
          <w:szCs w:val="22"/>
          <w:lang w:val="bs-Latn-BA"/>
        </w:rPr>
        <w:t xml:space="preserve">je </w:t>
      </w:r>
      <w:r w:rsidRPr="009B4EED">
        <w:rPr>
          <w:rFonts w:asciiTheme="majorHAnsi" w:eastAsia="Calibri" w:hAnsiTheme="majorHAnsi" w:cs="Times New Roman"/>
          <w:i/>
          <w:sz w:val="22"/>
          <w:szCs w:val="22"/>
          <w:lang w:val="bs-Latn-BA"/>
        </w:rPr>
        <w:t>velik broj nepopunjenih radnih mjesta, pa se nameće zaključak da su sistematizacije radnih mjesta kao dokumenti srednjoročnog kadrovskog planiranja neadekvatni, tj. da su sumnjivog kvaliteta i da se planiranje ne sprovodi na principima efikasnosti i efektivnos</w:t>
      </w:r>
      <w:r w:rsidR="006803B6">
        <w:rPr>
          <w:rFonts w:asciiTheme="majorHAnsi" w:eastAsia="Calibri" w:hAnsiTheme="majorHAnsi" w:cs="Times New Roman"/>
          <w:i/>
          <w:sz w:val="22"/>
          <w:szCs w:val="22"/>
          <w:lang w:val="bs-Latn-BA"/>
        </w:rPr>
        <w:t>ti u radu i upotrebe postojeće radne snage</w:t>
      </w:r>
      <w:r w:rsidRPr="009B4EED">
        <w:rPr>
          <w:rFonts w:asciiTheme="majorHAnsi" w:eastAsia="Calibri" w:hAnsiTheme="majorHAnsi" w:cs="Times New Roman"/>
          <w:i/>
          <w:sz w:val="22"/>
          <w:szCs w:val="22"/>
          <w:lang w:val="bs-Latn-BA"/>
        </w:rPr>
        <w:t>. Potrebe u novim radnim zadacim</w:t>
      </w:r>
      <w:r w:rsidR="00A01886" w:rsidRPr="0054107F">
        <w:rPr>
          <w:rFonts w:asciiTheme="majorHAnsi" w:eastAsia="Calibri" w:hAnsiTheme="majorHAnsi" w:cs="Times New Roman"/>
          <w:i/>
          <w:sz w:val="22"/>
          <w:szCs w:val="22"/>
          <w:lang w:val="bs-Latn-BA"/>
        </w:rPr>
        <w:t>a</w:t>
      </w:r>
      <w:r w:rsidRPr="009B4EED">
        <w:rPr>
          <w:rFonts w:asciiTheme="majorHAnsi" w:eastAsia="Calibri" w:hAnsiTheme="majorHAnsi" w:cs="Times New Roman"/>
          <w:i/>
          <w:sz w:val="22"/>
          <w:szCs w:val="22"/>
          <w:lang w:val="bs-Latn-BA"/>
        </w:rPr>
        <w:t xml:space="preserve"> u postojećem sistemu kadrovskog planiranja rješavaju se planiranjem novih radnih mjesta koja potom nije moguće popuniti. Ne postoje prakse dugoročnog planiranja i strateških dokumenata i okvirnih poli</w:t>
      </w:r>
      <w:r w:rsidR="006803B6">
        <w:rPr>
          <w:rFonts w:asciiTheme="majorHAnsi" w:eastAsia="Calibri" w:hAnsiTheme="majorHAnsi" w:cs="Times New Roman"/>
          <w:i/>
          <w:sz w:val="22"/>
          <w:szCs w:val="22"/>
          <w:lang w:val="bs-Latn-BA"/>
        </w:rPr>
        <w:t>tika sa kojima bi se potom mogle</w:t>
      </w:r>
      <w:r w:rsidRPr="009B4EED">
        <w:rPr>
          <w:rFonts w:asciiTheme="majorHAnsi" w:eastAsia="Calibri" w:hAnsiTheme="majorHAnsi" w:cs="Times New Roman"/>
          <w:i/>
          <w:sz w:val="22"/>
          <w:szCs w:val="22"/>
          <w:lang w:val="bs-Latn-BA"/>
        </w:rPr>
        <w:t xml:space="preserve"> porediti sistematizacije radnih mjesta, kao ni prakse analiziranja postojećih praksi planiranja radi utvrđivanja nedostataka i cjelovitog pristupa kadrovskoj politici koja je zasnovana na opštim i usaglašenim pojedinačnim ciljevima. </w:t>
      </w:r>
    </w:p>
    <w:p w14:paraId="7E43B957" w14:textId="77777777" w:rsidR="009B4EED" w:rsidRPr="009B4EED" w:rsidRDefault="009B4EED" w:rsidP="009B4EED">
      <w:pPr>
        <w:jc w:val="both"/>
        <w:rPr>
          <w:rFonts w:asciiTheme="majorHAnsi" w:eastAsia="Calibri" w:hAnsiTheme="majorHAnsi" w:cs="Times New Roman"/>
          <w:i/>
          <w:sz w:val="22"/>
          <w:szCs w:val="22"/>
          <w:lang w:val="bs-Latn-BA"/>
        </w:rPr>
      </w:pPr>
    </w:p>
    <w:p w14:paraId="072A4687" w14:textId="7F0EA9F9" w:rsidR="009B4EED" w:rsidRPr="009B4EED" w:rsidRDefault="009B4EED" w:rsidP="009B4EED">
      <w:pPr>
        <w:jc w:val="both"/>
        <w:rPr>
          <w:rFonts w:asciiTheme="majorHAnsi" w:eastAsia="Calibri" w:hAnsiTheme="majorHAnsi" w:cs="Times New Roman"/>
          <w:i/>
          <w:sz w:val="22"/>
          <w:szCs w:val="22"/>
          <w:lang w:val="bs-Latn-BA"/>
        </w:rPr>
      </w:pPr>
      <w:r w:rsidRPr="009B4EED">
        <w:rPr>
          <w:rFonts w:asciiTheme="majorHAnsi" w:eastAsia="Calibri" w:hAnsiTheme="majorHAnsi" w:cs="Times New Roman"/>
          <w:b/>
          <w:sz w:val="22"/>
          <w:szCs w:val="22"/>
          <w:lang w:val="bs-Latn-BA"/>
        </w:rPr>
        <w:t>Preporuka</w:t>
      </w:r>
      <w:r w:rsidRPr="009B4EED">
        <w:rPr>
          <w:rFonts w:asciiTheme="majorHAnsi" w:eastAsia="Calibri" w:hAnsiTheme="majorHAnsi" w:cs="Times New Roman"/>
          <w:b/>
          <w:i/>
          <w:sz w:val="22"/>
          <w:szCs w:val="22"/>
          <w:lang w:val="bs-Latn-BA"/>
        </w:rPr>
        <w:t>:</w:t>
      </w:r>
      <w:r w:rsidRPr="009B4EED">
        <w:rPr>
          <w:rFonts w:asciiTheme="majorHAnsi" w:eastAsia="Calibri" w:hAnsiTheme="majorHAnsi" w:cs="Times New Roman"/>
          <w:i/>
          <w:sz w:val="22"/>
          <w:szCs w:val="22"/>
          <w:lang w:val="bs-Latn-BA"/>
        </w:rPr>
        <w:t xml:space="preserve"> Uspostaviti praksu analiziranja </w:t>
      </w:r>
      <w:r w:rsidR="006803B6">
        <w:rPr>
          <w:rFonts w:asciiTheme="majorHAnsi" w:eastAsia="Calibri" w:hAnsiTheme="majorHAnsi" w:cs="Times New Roman"/>
          <w:i/>
          <w:sz w:val="22"/>
          <w:szCs w:val="22"/>
          <w:lang w:val="bs-Latn-BA"/>
        </w:rPr>
        <w:t>kadrovskog planiranja</w:t>
      </w:r>
      <w:r w:rsidRPr="009B4EED">
        <w:rPr>
          <w:rFonts w:asciiTheme="majorHAnsi" w:eastAsia="Calibri" w:hAnsiTheme="majorHAnsi" w:cs="Times New Roman"/>
          <w:i/>
          <w:sz w:val="22"/>
          <w:szCs w:val="22"/>
          <w:lang w:val="bs-Latn-BA"/>
        </w:rPr>
        <w:t>, ali i donošenja opštih dokumenata kojima su zacrtani ciljevi i smjernice na osnovu kojih se mogu vršiti kvalitetnije sistematizacije radnih mjesta. Pri izradi sistematizcija voditi računa o već postojećim radnim mjestima i potrebi da se više koriste postojeći resursi, tj</w:t>
      </w:r>
      <w:r w:rsidR="006803B6">
        <w:rPr>
          <w:rFonts w:asciiTheme="majorHAnsi" w:eastAsia="Calibri" w:hAnsiTheme="majorHAnsi" w:cs="Times New Roman"/>
          <w:i/>
          <w:sz w:val="22"/>
          <w:szCs w:val="22"/>
          <w:lang w:val="bs-Latn-BA"/>
        </w:rPr>
        <w:t>.</w:t>
      </w:r>
      <w:r w:rsidRPr="009B4EED">
        <w:rPr>
          <w:rFonts w:asciiTheme="majorHAnsi" w:eastAsia="Calibri" w:hAnsiTheme="majorHAnsi" w:cs="Times New Roman"/>
          <w:i/>
          <w:sz w:val="22"/>
          <w:szCs w:val="22"/>
          <w:lang w:val="bs-Latn-BA"/>
        </w:rPr>
        <w:t xml:space="preserve"> vršiti planiranje prema stvarnim mogućnostima i principima efikasnosti i efektivnosti u radu javne uprave. Prije definisanja kadrovskih politika i opštih politika kao instrumenata dugoročnog planiranja trebalo bi izvršiti analizu postojećih radnih mjesta, realnih potreba i novih zadataka koji će se pojaviti u narednom periodu kako bi se onda na osnovu toga mogle pripremiti adekvatne sistematizacije radnih mjesta.  </w:t>
      </w:r>
    </w:p>
    <w:p w14:paraId="31127C41" w14:textId="77777777" w:rsidR="009B4EED" w:rsidRPr="0054107F" w:rsidRDefault="009B4EED" w:rsidP="00754472">
      <w:pPr>
        <w:jc w:val="both"/>
        <w:rPr>
          <w:rFonts w:asciiTheme="majorHAnsi" w:hAnsiTheme="majorHAnsi"/>
          <w:i/>
          <w:sz w:val="22"/>
          <w:szCs w:val="22"/>
          <w:lang w:val="bs-Latn-BA"/>
        </w:rPr>
      </w:pPr>
    </w:p>
    <w:p w14:paraId="76D66E62" w14:textId="77777777" w:rsidR="005B2DF8" w:rsidRPr="0054107F" w:rsidRDefault="005B2DF8" w:rsidP="00754472">
      <w:pPr>
        <w:jc w:val="both"/>
        <w:rPr>
          <w:rFonts w:asciiTheme="majorHAnsi" w:hAnsiTheme="majorHAnsi"/>
          <w:b/>
          <w:lang w:val="bs-Latn-BA"/>
        </w:rPr>
      </w:pPr>
    </w:p>
    <w:p w14:paraId="2AD752CE" w14:textId="77777777" w:rsidR="00C36F17" w:rsidRPr="0054107F" w:rsidRDefault="00C97E94" w:rsidP="00754472">
      <w:pPr>
        <w:pStyle w:val="ListParagraph"/>
        <w:numPr>
          <w:ilvl w:val="0"/>
          <w:numId w:val="1"/>
        </w:numPr>
        <w:jc w:val="both"/>
        <w:rPr>
          <w:rFonts w:asciiTheme="majorHAnsi" w:hAnsiTheme="majorHAnsi"/>
          <w:b/>
        </w:rPr>
      </w:pPr>
      <w:r w:rsidRPr="0054107F">
        <w:rPr>
          <w:rFonts w:asciiTheme="majorHAnsi" w:hAnsiTheme="majorHAnsi"/>
          <w:b/>
        </w:rPr>
        <w:t>Revizorski izvještaji</w:t>
      </w:r>
    </w:p>
    <w:p w14:paraId="35154E70" w14:textId="77777777" w:rsidR="00524F3F" w:rsidRPr="0054107F" w:rsidRDefault="00524F3F" w:rsidP="00754472">
      <w:pPr>
        <w:pStyle w:val="ListParagraph"/>
        <w:jc w:val="both"/>
        <w:rPr>
          <w:rFonts w:asciiTheme="majorHAnsi" w:hAnsiTheme="majorHAnsi"/>
          <w:sz w:val="22"/>
          <w:szCs w:val="22"/>
        </w:rPr>
      </w:pPr>
    </w:p>
    <w:p w14:paraId="13222D57" w14:textId="0041E7CE" w:rsidR="006E1BFB" w:rsidRPr="0054107F" w:rsidRDefault="006E1BFB"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Na državnom nivou sve institucije obuhvaćene uzorkom</w:t>
      </w:r>
      <w:r w:rsidR="00057614" w:rsidRPr="0054107F">
        <w:rPr>
          <w:rFonts w:asciiTheme="majorHAnsi" w:hAnsiTheme="majorHAnsi"/>
          <w:color w:val="000000" w:themeColor="text1"/>
          <w:sz w:val="22"/>
          <w:szCs w:val="22"/>
          <w:lang w:val="bs-Latn-BA"/>
        </w:rPr>
        <w:t>,</w:t>
      </w:r>
      <w:r w:rsidRPr="0054107F">
        <w:rPr>
          <w:rFonts w:asciiTheme="majorHAnsi" w:hAnsiTheme="majorHAnsi"/>
          <w:color w:val="000000" w:themeColor="text1"/>
          <w:sz w:val="22"/>
          <w:szCs w:val="22"/>
          <w:lang w:val="bs-Latn-BA"/>
        </w:rPr>
        <w:t xml:space="preserve"> sa izuzetkom Ministarstva za ljudska prava i izbjeglice</w:t>
      </w:r>
      <w:r w:rsidR="00057614" w:rsidRPr="0054107F">
        <w:rPr>
          <w:rFonts w:asciiTheme="majorHAnsi" w:hAnsiTheme="majorHAnsi"/>
          <w:color w:val="000000" w:themeColor="text1"/>
          <w:sz w:val="22"/>
          <w:szCs w:val="22"/>
          <w:lang w:val="bs-Latn-BA"/>
        </w:rPr>
        <w:t xml:space="preserve"> i Ministarstva odbrane</w:t>
      </w:r>
      <w:r w:rsidRPr="0054107F">
        <w:rPr>
          <w:rFonts w:asciiTheme="majorHAnsi" w:hAnsiTheme="majorHAnsi"/>
          <w:color w:val="000000" w:themeColor="text1"/>
          <w:sz w:val="22"/>
          <w:szCs w:val="22"/>
          <w:lang w:val="bs-Latn-BA"/>
        </w:rPr>
        <w:t xml:space="preserve"> koje ima mišljenje sa rezervom, imaju pozitivno mišljenje. Od posmatranih </w:t>
      </w:r>
      <w:r w:rsidR="00057614" w:rsidRPr="0054107F">
        <w:rPr>
          <w:rFonts w:asciiTheme="majorHAnsi" w:hAnsiTheme="majorHAnsi"/>
          <w:color w:val="000000" w:themeColor="text1"/>
          <w:sz w:val="22"/>
          <w:szCs w:val="22"/>
          <w:lang w:val="bs-Latn-BA"/>
        </w:rPr>
        <w:t xml:space="preserve">12 </w:t>
      </w:r>
      <w:r w:rsidRPr="0054107F">
        <w:rPr>
          <w:rFonts w:asciiTheme="majorHAnsi" w:hAnsiTheme="majorHAnsi"/>
          <w:color w:val="000000" w:themeColor="text1"/>
          <w:sz w:val="22"/>
          <w:szCs w:val="22"/>
          <w:lang w:val="bs-Latn-BA"/>
        </w:rPr>
        <w:t>insititucija njih 3 imaju praksu objavljivanja izvještaja na svojim stranicama.</w:t>
      </w:r>
      <w:r w:rsidR="00333996" w:rsidRPr="0054107F">
        <w:rPr>
          <w:rFonts w:asciiTheme="majorHAnsi" w:hAnsiTheme="majorHAnsi"/>
          <w:color w:val="000000" w:themeColor="text1"/>
          <w:sz w:val="22"/>
          <w:szCs w:val="22"/>
          <w:lang w:val="bs-Latn-BA"/>
        </w:rPr>
        <w:t xml:space="preserve"> Kada je u pitanju realizacija preporuka iz prethodnih izvještaja, nerealizovane preporuke se uglavnom odnose na postupke javnih nabavki, dodjele grant sredstava trećim licima i ugovore o djelu. </w:t>
      </w:r>
    </w:p>
    <w:p w14:paraId="386EA2E8" w14:textId="77777777" w:rsidR="00A01886" w:rsidRDefault="00A01886" w:rsidP="00754472">
      <w:pPr>
        <w:jc w:val="both"/>
        <w:rPr>
          <w:rFonts w:asciiTheme="majorHAnsi" w:hAnsiTheme="majorHAnsi"/>
          <w:color w:val="000000" w:themeColor="text1"/>
          <w:sz w:val="22"/>
          <w:szCs w:val="22"/>
          <w:lang w:val="bs-Latn-BA"/>
        </w:rPr>
      </w:pPr>
    </w:p>
    <w:p w14:paraId="39481C46" w14:textId="5201EEE4" w:rsidR="00473FA9" w:rsidRPr="0054107F" w:rsidRDefault="00473FA9" w:rsidP="00473FA9">
      <w:pPr>
        <w:jc w:val="both"/>
        <w:rPr>
          <w:rFonts w:asciiTheme="majorHAnsi" w:hAnsiTheme="majorHAnsi"/>
          <w:sz w:val="22"/>
          <w:szCs w:val="22"/>
          <w:lang w:val="bs-Latn-BA"/>
        </w:rPr>
      </w:pPr>
      <w:r w:rsidRPr="0054107F">
        <w:rPr>
          <w:rFonts w:asciiTheme="majorHAnsi" w:hAnsiTheme="majorHAnsi"/>
          <w:sz w:val="22"/>
          <w:szCs w:val="22"/>
          <w:lang w:val="bs-Latn-BA"/>
        </w:rPr>
        <w:t>U referentnom periodu od 9 institucija na federalnom novu vlasti koje su bile predmetom monitoringa sačinjen je finansijski revizijski izvještaj</w:t>
      </w:r>
      <w:r>
        <w:rPr>
          <w:rFonts w:asciiTheme="majorHAnsi" w:hAnsiTheme="majorHAnsi"/>
          <w:sz w:val="22"/>
          <w:szCs w:val="22"/>
          <w:lang w:val="bs-Latn-BA"/>
        </w:rPr>
        <w:t xml:space="preserve"> za 4 institucije i</w:t>
      </w:r>
      <w:r w:rsidRPr="0054107F">
        <w:rPr>
          <w:rFonts w:asciiTheme="majorHAnsi" w:hAnsiTheme="majorHAnsi"/>
          <w:sz w:val="22"/>
          <w:szCs w:val="22"/>
          <w:lang w:val="bs-Latn-BA"/>
        </w:rPr>
        <w:t xml:space="preserve"> to za 2014. godinu. Institucije koje su bile predmetom revizije ne objavljuju izvještaje na svojim web stranicama i pozivaju se na web stranicu Ureda za reviziju institucija u Federaciji BiH.  Prikupljeni podaci govore da pored toga što ne postoji zakonska obaveza objave ovakve vrste izvještaja od strane institucija ne postoji ni potreba da se analiza njihovog rada otvoreno i transparentno predoči javnosti.</w:t>
      </w:r>
    </w:p>
    <w:p w14:paraId="1E717A34" w14:textId="77777777" w:rsidR="00473FA9" w:rsidRPr="0054107F" w:rsidRDefault="00473FA9" w:rsidP="00473FA9">
      <w:pPr>
        <w:tabs>
          <w:tab w:val="left" w:pos="6600"/>
        </w:tabs>
        <w:jc w:val="both"/>
        <w:rPr>
          <w:rFonts w:asciiTheme="majorHAnsi" w:hAnsiTheme="majorHAnsi"/>
          <w:sz w:val="22"/>
          <w:szCs w:val="22"/>
          <w:lang w:val="bs-Latn-BA"/>
        </w:rPr>
      </w:pPr>
    </w:p>
    <w:p w14:paraId="0269EF64" w14:textId="4D79ACBD" w:rsidR="00473FA9" w:rsidRPr="0054107F" w:rsidRDefault="00473FA9" w:rsidP="00473FA9">
      <w:pPr>
        <w:jc w:val="both"/>
        <w:rPr>
          <w:rFonts w:asciiTheme="majorHAnsi" w:hAnsiTheme="majorHAnsi"/>
          <w:sz w:val="22"/>
          <w:szCs w:val="22"/>
          <w:lang w:val="bs-Latn-BA"/>
        </w:rPr>
      </w:pPr>
      <w:r w:rsidRPr="0054107F">
        <w:rPr>
          <w:rFonts w:asciiTheme="majorHAnsi" w:hAnsiTheme="majorHAnsi"/>
          <w:sz w:val="22"/>
          <w:szCs w:val="22"/>
          <w:lang w:val="bs-Latn-BA"/>
        </w:rPr>
        <w:t>Analizom 4 dostupna izvještaja za posmatrane institucije u period 2014. – 2015. godina utvrđeno je da revizori u 3 izvještaja daju mišljenje sa rezervom dok jedan ima negativno mišljenje (</w:t>
      </w:r>
      <w:r w:rsidRPr="0054107F">
        <w:rPr>
          <w:rFonts w:asciiTheme="majorHAnsi" w:hAnsiTheme="majorHAnsi"/>
          <w:i/>
          <w:sz w:val="22"/>
          <w:szCs w:val="22"/>
          <w:lang w:val="bs-Latn-BA"/>
        </w:rPr>
        <w:t>Federalno ministarstvo poljoprivrede, vodoprivrede i šumarstva)</w:t>
      </w:r>
      <w:r w:rsidRPr="0054107F">
        <w:rPr>
          <w:rFonts w:asciiTheme="majorHAnsi" w:hAnsiTheme="majorHAnsi"/>
          <w:sz w:val="22"/>
          <w:szCs w:val="22"/>
          <w:lang w:val="bs-Latn-BA"/>
        </w:rPr>
        <w:t xml:space="preserve">, te da se ne postupa u potpunosti po </w:t>
      </w:r>
      <w:r>
        <w:rPr>
          <w:rFonts w:asciiTheme="majorHAnsi" w:hAnsiTheme="majorHAnsi"/>
          <w:sz w:val="22"/>
          <w:szCs w:val="22"/>
          <w:lang w:val="bs-Latn-BA"/>
        </w:rPr>
        <w:t>p</w:t>
      </w:r>
      <w:r w:rsidRPr="0054107F">
        <w:rPr>
          <w:rFonts w:asciiTheme="majorHAnsi" w:hAnsiTheme="majorHAnsi"/>
          <w:sz w:val="22"/>
          <w:szCs w:val="22"/>
          <w:lang w:val="bs-Latn-BA"/>
        </w:rPr>
        <w:t>reporukama Ureda za reviziju na što su i iz Ureda upozorili. U svakom izvještaju naglašena je potreba uspostavljanja funkcije interne revizije.</w:t>
      </w:r>
    </w:p>
    <w:p w14:paraId="35118248" w14:textId="77777777" w:rsidR="00473FA9" w:rsidRPr="0054107F" w:rsidRDefault="00473FA9" w:rsidP="00473FA9">
      <w:pPr>
        <w:jc w:val="both"/>
        <w:rPr>
          <w:rFonts w:asciiTheme="majorHAnsi" w:hAnsiTheme="majorHAnsi"/>
          <w:sz w:val="22"/>
          <w:szCs w:val="22"/>
          <w:lang w:val="bs-Latn-BA"/>
        </w:rPr>
      </w:pPr>
    </w:p>
    <w:p w14:paraId="7BBFCB69" w14:textId="77777777" w:rsidR="00473FA9" w:rsidRPr="0054107F" w:rsidRDefault="00473FA9" w:rsidP="00473FA9">
      <w:pPr>
        <w:tabs>
          <w:tab w:val="left" w:pos="6600"/>
        </w:tabs>
        <w:jc w:val="both"/>
        <w:rPr>
          <w:rFonts w:asciiTheme="majorHAnsi" w:hAnsiTheme="majorHAnsi"/>
          <w:sz w:val="22"/>
          <w:szCs w:val="22"/>
        </w:rPr>
      </w:pPr>
      <w:r w:rsidRPr="0054107F">
        <w:rPr>
          <w:rFonts w:asciiTheme="majorHAnsi" w:hAnsiTheme="majorHAnsi"/>
          <w:sz w:val="22"/>
          <w:szCs w:val="22"/>
        </w:rPr>
        <w:t>U nastavku su date samo neke preporuke Ureda za reviziju:</w:t>
      </w:r>
    </w:p>
    <w:p w14:paraId="07EB8863" w14:textId="77777777" w:rsidR="00473FA9" w:rsidRPr="0054107F" w:rsidRDefault="00473FA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 xml:space="preserve">Poduzeti aktivnosti na blagovremenom donošenju godišnjih programa rada i financijskih planova. </w:t>
      </w:r>
      <w:r w:rsidRPr="0054107F">
        <w:rPr>
          <w:rStyle w:val="FootnoteReference"/>
          <w:rFonts w:asciiTheme="majorHAnsi" w:hAnsiTheme="majorHAnsi" w:cs="Calibri"/>
          <w:bCs/>
          <w:iCs/>
          <w:color w:val="000000"/>
          <w:sz w:val="22"/>
          <w:szCs w:val="22"/>
          <w:lang w:val="bs-Latn-BA"/>
        </w:rPr>
        <w:footnoteReference w:id="12"/>
      </w:r>
    </w:p>
    <w:p w14:paraId="71DC0093" w14:textId="77777777" w:rsidR="00473FA9" w:rsidRPr="0054107F" w:rsidRDefault="00473FA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lastRenderedPageBreak/>
        <w:t xml:space="preserve">U cilju potpune informisanosti nadležnih organa, ali i unapređenja i poboljšanja cjelokupnog poslovanja, izvješća o radu sačinjavati sadržajnije i sveobuhvatnije. </w:t>
      </w:r>
      <w:r w:rsidRPr="0054107F">
        <w:rPr>
          <w:rStyle w:val="FootnoteReference"/>
          <w:rFonts w:asciiTheme="majorHAnsi" w:hAnsiTheme="majorHAnsi" w:cs="Calibri"/>
          <w:bCs/>
          <w:iCs/>
          <w:color w:val="000000"/>
          <w:sz w:val="22"/>
          <w:szCs w:val="22"/>
          <w:lang w:val="bs-Latn-BA"/>
        </w:rPr>
        <w:footnoteReference w:id="13"/>
      </w:r>
    </w:p>
    <w:p w14:paraId="200EF39A" w14:textId="77777777" w:rsidR="00473FA9" w:rsidRPr="0054107F" w:rsidRDefault="00473FA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Preispitati pravilnik o unutarnjoj organizaciji u cilju uspostavljanja funkcije interne revizije sukladno Zakonu o internoj reviziji i Pravilniku o kriterijima za uspostavljanje jedinica za internu reviziju u javnom sektoru u FBiH</w:t>
      </w:r>
      <w:r w:rsidRPr="0054107F">
        <w:rPr>
          <w:rStyle w:val="FootnoteReference"/>
          <w:rFonts w:asciiTheme="majorHAnsi" w:hAnsiTheme="majorHAnsi"/>
          <w:sz w:val="22"/>
          <w:szCs w:val="22"/>
        </w:rPr>
        <w:footnoteReference w:id="14"/>
      </w:r>
    </w:p>
    <w:p w14:paraId="78A41982" w14:textId="77777777" w:rsidR="00473FA9" w:rsidRPr="0054107F" w:rsidRDefault="00473FA9" w:rsidP="00473FA9">
      <w:pPr>
        <w:pStyle w:val="ListParagraph"/>
        <w:numPr>
          <w:ilvl w:val="0"/>
          <w:numId w:val="3"/>
        </w:numPr>
        <w:autoSpaceDE w:val="0"/>
        <w:autoSpaceDN w:val="0"/>
        <w:adjustRightInd w:val="0"/>
        <w:spacing w:after="138"/>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 xml:space="preserve">Preispitati opravdanost formiranja velikog broja radnih tijela i komisija koji se finansiraju iz budžeta za koje članovi komisija ostvaruju pravo na naknadu i u koje se imenuju i zaposlenici Ministarstva, a posebice ispitati opravdanost imenovanja više uposlenika Ministarstva istovremeno za vršenje administrativno-tehničkih poslova u pojedinim komisijama, </w:t>
      </w:r>
      <w:r w:rsidRPr="0054107F">
        <w:rPr>
          <w:rStyle w:val="FootnoteReference"/>
          <w:rFonts w:asciiTheme="majorHAnsi" w:hAnsiTheme="majorHAnsi"/>
          <w:sz w:val="22"/>
          <w:szCs w:val="22"/>
        </w:rPr>
        <w:footnoteReference w:id="15"/>
      </w:r>
    </w:p>
    <w:p w14:paraId="4A7383C4" w14:textId="77777777" w:rsidR="00473FA9" w:rsidRPr="0054107F" w:rsidRDefault="00473FA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Kod imenovanja komisija postupati sukladno članu 3. stav 9. Uredbe načinu formiranja i utvrđivanja visine naknade za rad radnih tijela osnovanih od strane Vlade FBiH i rukovodilaca federalnih organa državne službe kojim se nalaže da ako se ne radi o imenovanju za člana radnog tijela po funkciji sukladno posebnim zakonom ili drugim propisom, jedna osoba može biti imenovana za predsjedavajućeg ili člana najviše u dva radna tijela,</w:t>
      </w:r>
      <w:r w:rsidRPr="0054107F">
        <w:rPr>
          <w:rStyle w:val="FootnoteReference"/>
          <w:rFonts w:asciiTheme="majorHAnsi" w:hAnsiTheme="majorHAnsi"/>
          <w:sz w:val="22"/>
          <w:szCs w:val="22"/>
          <w:lang w:val="bs-Latn-BA"/>
        </w:rPr>
        <w:t xml:space="preserve"> </w:t>
      </w:r>
      <w:r w:rsidRPr="0054107F">
        <w:rPr>
          <w:rStyle w:val="FootnoteReference"/>
          <w:rFonts w:asciiTheme="majorHAnsi" w:hAnsiTheme="majorHAnsi"/>
          <w:sz w:val="22"/>
          <w:szCs w:val="22"/>
        </w:rPr>
        <w:footnoteReference w:id="16"/>
      </w:r>
    </w:p>
    <w:p w14:paraId="4C92D3A3" w14:textId="77777777" w:rsidR="00473FA9" w:rsidRPr="0054107F" w:rsidRDefault="00473FA9" w:rsidP="00473FA9">
      <w:pPr>
        <w:pStyle w:val="ListParagraph"/>
        <w:numPr>
          <w:ilvl w:val="0"/>
          <w:numId w:val="3"/>
        </w:numPr>
        <w:autoSpaceDE w:val="0"/>
        <w:autoSpaceDN w:val="0"/>
        <w:adjustRightInd w:val="0"/>
        <w:spacing w:after="138"/>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 xml:space="preserve">Preispitati opravdanost isplata zaposlenicima po osnovu rada u komisijama za obavljanje poslova iz nadležnosti Ministarstva, u cilju ukidanja istih, </w:t>
      </w:r>
      <w:r w:rsidRPr="0054107F">
        <w:rPr>
          <w:rStyle w:val="FootnoteReference"/>
          <w:rFonts w:asciiTheme="majorHAnsi" w:hAnsiTheme="majorHAnsi"/>
          <w:sz w:val="22"/>
          <w:szCs w:val="22"/>
        </w:rPr>
        <w:footnoteReference w:id="17"/>
      </w:r>
    </w:p>
    <w:p w14:paraId="37CE0176" w14:textId="77777777" w:rsidR="00473FA9" w:rsidRPr="0054107F" w:rsidRDefault="00473FA9" w:rsidP="00EF0F68">
      <w:pPr>
        <w:pStyle w:val="ListParagraph"/>
        <w:numPr>
          <w:ilvl w:val="0"/>
          <w:numId w:val="3"/>
        </w:numPr>
        <w:autoSpaceDE w:val="0"/>
        <w:autoSpaceDN w:val="0"/>
        <w:adjustRightInd w:val="0"/>
        <w:jc w:val="both"/>
        <w:rPr>
          <w:rFonts w:asciiTheme="majorHAnsi" w:hAnsiTheme="majorHAnsi" w:cs="Calibri"/>
          <w:color w:val="000000"/>
          <w:sz w:val="22"/>
          <w:szCs w:val="22"/>
          <w:lang w:val="bs-Latn-BA"/>
        </w:rPr>
      </w:pPr>
      <w:r w:rsidRPr="0054107F">
        <w:rPr>
          <w:rFonts w:asciiTheme="majorHAnsi" w:hAnsiTheme="majorHAnsi" w:cs="Calibri"/>
          <w:bCs/>
          <w:iCs/>
          <w:color w:val="000000"/>
          <w:sz w:val="22"/>
          <w:szCs w:val="22"/>
          <w:lang w:val="bs-Latn-BA"/>
        </w:rPr>
        <w:t>Preispitati opravdanost isplata zaposlenicima po osnovu rada u komisijama za obavljanje poslova iz nadležnosti Ministarstva, u cilju ukidanja istih,</w:t>
      </w:r>
      <w:r w:rsidRPr="0054107F">
        <w:rPr>
          <w:rStyle w:val="FootnoteReference"/>
          <w:rFonts w:asciiTheme="majorHAnsi" w:hAnsiTheme="majorHAnsi" w:cs="Calibri"/>
          <w:bCs/>
          <w:iCs/>
          <w:color w:val="000000"/>
          <w:sz w:val="22"/>
          <w:szCs w:val="22"/>
          <w:lang w:val="bs-Latn-BA"/>
        </w:rPr>
        <w:footnoteReference w:id="18"/>
      </w:r>
      <w:r w:rsidRPr="0054107F">
        <w:rPr>
          <w:rFonts w:asciiTheme="majorHAnsi" w:hAnsiTheme="majorHAnsi" w:cs="Calibri"/>
          <w:bCs/>
          <w:iCs/>
          <w:color w:val="000000"/>
          <w:sz w:val="22"/>
          <w:szCs w:val="22"/>
          <w:lang w:val="bs-Latn-BA"/>
        </w:rPr>
        <w:t xml:space="preserve"> </w:t>
      </w:r>
    </w:p>
    <w:p w14:paraId="51A81C07" w14:textId="77777777" w:rsidR="00473FA9" w:rsidRPr="0054107F" w:rsidRDefault="00473FA9" w:rsidP="00754472">
      <w:pPr>
        <w:jc w:val="both"/>
        <w:rPr>
          <w:rFonts w:asciiTheme="majorHAnsi" w:hAnsiTheme="majorHAnsi"/>
          <w:color w:val="000000" w:themeColor="text1"/>
          <w:sz w:val="22"/>
          <w:szCs w:val="22"/>
          <w:lang w:val="bs-Latn-BA"/>
        </w:rPr>
      </w:pPr>
    </w:p>
    <w:p w14:paraId="3FA45C03" w14:textId="5733B12D" w:rsidR="00CB68C8" w:rsidRPr="0054107F" w:rsidRDefault="00CB68C8"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 xml:space="preserve">Na osnovu prikupljenih podataka za RS mogao bi se izvući zaključak da ne postoji praksa objavljivanja revizorskih izvještaja na stranicama institucija na koje odnose izvještaji, te se ovdje ističe kako objavu vrši </w:t>
      </w:r>
      <w:r w:rsidR="00A01886" w:rsidRPr="0054107F">
        <w:rPr>
          <w:rFonts w:asciiTheme="majorHAnsi" w:hAnsiTheme="majorHAnsi"/>
          <w:color w:val="000000" w:themeColor="text1"/>
          <w:sz w:val="22"/>
          <w:szCs w:val="22"/>
          <w:lang w:val="bs-Latn-BA"/>
        </w:rPr>
        <w:t>Glavna služba za reviziju. Od 12</w:t>
      </w:r>
      <w:r w:rsidRPr="0054107F">
        <w:rPr>
          <w:rFonts w:asciiTheme="majorHAnsi" w:hAnsiTheme="majorHAnsi"/>
          <w:color w:val="000000" w:themeColor="text1"/>
          <w:sz w:val="22"/>
          <w:szCs w:val="22"/>
          <w:lang w:val="bs-Latn-BA"/>
        </w:rPr>
        <w:t xml:space="preserve"> institucija samo 1 ima na svom sajtu objavljen revizorski izvještaj. Sve institucije izrađuju plan postupanja po revizorskim izvještajima, a Ministarstvu zdravlja i socijalne zaštite dato je negativno mišljenje sa čak 11 preporuka kao što su „prezentovati uporedne podatke u finansijskim izvještajima i popuniti radno mjesto internog revizora.“ </w:t>
      </w:r>
    </w:p>
    <w:p w14:paraId="7C53C96C" w14:textId="77777777" w:rsidR="007F1E13" w:rsidRPr="0054107F" w:rsidRDefault="007F1E13" w:rsidP="00754472">
      <w:pPr>
        <w:jc w:val="both"/>
        <w:rPr>
          <w:rFonts w:asciiTheme="majorHAnsi" w:hAnsiTheme="majorHAnsi"/>
          <w:color w:val="000000" w:themeColor="text1"/>
          <w:sz w:val="22"/>
          <w:szCs w:val="22"/>
          <w:highlight w:val="green"/>
          <w:lang w:val="bs-Latn-BA"/>
        </w:rPr>
      </w:pPr>
    </w:p>
    <w:p w14:paraId="3F45BB60" w14:textId="64A5DF12" w:rsidR="005B2DF8" w:rsidRPr="0054107F" w:rsidRDefault="005B2DF8"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Prema dostupni</w:t>
      </w:r>
      <w:r w:rsidR="00A01886" w:rsidRPr="0054107F">
        <w:rPr>
          <w:rFonts w:asciiTheme="majorHAnsi" w:hAnsiTheme="majorHAnsi"/>
          <w:color w:val="000000" w:themeColor="text1"/>
          <w:sz w:val="22"/>
          <w:szCs w:val="22"/>
          <w:lang w:val="bs-Latn-BA"/>
        </w:rPr>
        <w:t>m podacima iz monitoringa, od 11</w:t>
      </w:r>
      <w:r w:rsidRPr="0054107F">
        <w:rPr>
          <w:rFonts w:asciiTheme="majorHAnsi" w:hAnsiTheme="majorHAnsi"/>
          <w:color w:val="000000" w:themeColor="text1"/>
          <w:sz w:val="22"/>
          <w:szCs w:val="22"/>
          <w:lang w:val="bs-Latn-BA"/>
        </w:rPr>
        <w:t xml:space="preserve"> institucija</w:t>
      </w:r>
      <w:r w:rsidR="00EF0F68">
        <w:rPr>
          <w:rFonts w:asciiTheme="majorHAnsi" w:hAnsiTheme="majorHAnsi"/>
          <w:color w:val="000000" w:themeColor="text1"/>
          <w:sz w:val="22"/>
          <w:szCs w:val="22"/>
          <w:lang w:val="bs-Latn-BA"/>
        </w:rPr>
        <w:t xml:space="preserve"> u RS</w:t>
      </w:r>
      <w:r w:rsidRPr="0054107F">
        <w:rPr>
          <w:rFonts w:asciiTheme="majorHAnsi" w:hAnsiTheme="majorHAnsi"/>
          <w:color w:val="000000" w:themeColor="text1"/>
          <w:sz w:val="22"/>
          <w:szCs w:val="22"/>
          <w:lang w:val="bs-Latn-BA"/>
        </w:rPr>
        <w:t>, 4 su imale p</w:t>
      </w:r>
      <w:r w:rsidR="00A01886" w:rsidRPr="0054107F">
        <w:rPr>
          <w:rFonts w:asciiTheme="majorHAnsi" w:hAnsiTheme="majorHAnsi"/>
          <w:color w:val="000000" w:themeColor="text1"/>
          <w:sz w:val="22"/>
          <w:szCs w:val="22"/>
          <w:lang w:val="bs-Latn-BA"/>
        </w:rPr>
        <w:t>ozitivno revizorsko mišljenje, 6</w:t>
      </w:r>
      <w:r w:rsidRPr="0054107F">
        <w:rPr>
          <w:rFonts w:asciiTheme="majorHAnsi" w:hAnsiTheme="majorHAnsi"/>
          <w:color w:val="000000" w:themeColor="text1"/>
          <w:sz w:val="22"/>
          <w:szCs w:val="22"/>
          <w:lang w:val="bs-Latn-BA"/>
        </w:rPr>
        <w:t xml:space="preserve"> mišljenje sa rezervom i 1 negativno mišljenje.</w:t>
      </w:r>
    </w:p>
    <w:p w14:paraId="7132348E" w14:textId="77777777" w:rsidR="005B2DF8" w:rsidRPr="0054107F" w:rsidRDefault="005B2DF8" w:rsidP="00754472">
      <w:pPr>
        <w:jc w:val="both"/>
        <w:rPr>
          <w:rFonts w:asciiTheme="majorHAnsi" w:hAnsiTheme="majorHAnsi"/>
          <w:color w:val="000000" w:themeColor="text1"/>
          <w:sz w:val="22"/>
          <w:szCs w:val="22"/>
          <w:highlight w:val="green"/>
          <w:lang w:val="bs-Latn-BA"/>
        </w:rPr>
      </w:pPr>
    </w:p>
    <w:p w14:paraId="457CC9A8" w14:textId="383F901A" w:rsidR="005B2DF8" w:rsidRPr="0054107F" w:rsidRDefault="005B2DF8"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U nastavku su date neke od iznesenih preporuka u revizorskim izvještajima na nivou RS:</w:t>
      </w:r>
    </w:p>
    <w:p w14:paraId="5F510619" w14:textId="662A75EE"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 xml:space="preserve">dosljedno sprovoditi proceduru javnih nabavki koje su za odgovarajuće postupke nabavki propisane Zakonom o javnim nabavkama. </w:t>
      </w:r>
      <w:r w:rsidRPr="0054107F">
        <w:rPr>
          <w:rFonts w:asciiTheme="majorHAnsi" w:hAnsiTheme="majorHAnsi"/>
          <w:sz w:val="22"/>
          <w:szCs w:val="22"/>
          <w:vertAlign w:val="superscript"/>
          <w:lang w:val="bs-Latn-BA"/>
        </w:rPr>
        <w:footnoteReference w:id="19"/>
      </w:r>
    </w:p>
    <w:p w14:paraId="4263E5A4" w14:textId="41646B8A"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da se izvrši popuna radnog mjesta internog revizora shodno Zakonu o internoj reviziji u javnom sektoru u Republici Srpskoj;</w:t>
      </w:r>
      <w:r w:rsidRPr="0054107F">
        <w:rPr>
          <w:rFonts w:asciiTheme="majorHAnsi" w:hAnsiTheme="majorHAnsi"/>
          <w:sz w:val="22"/>
          <w:szCs w:val="22"/>
          <w:vertAlign w:val="superscript"/>
          <w:lang w:val="bs-Latn-BA"/>
        </w:rPr>
        <w:footnoteReference w:id="20"/>
      </w:r>
    </w:p>
    <w:p w14:paraId="0D6DA863" w14:textId="238E8AD6"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 xml:space="preserve">da se na novčane pomoći prilikom rođenja djeteta uplate porezi i doprinosi </w:t>
      </w:r>
      <w:r w:rsidRPr="0054107F">
        <w:rPr>
          <w:rFonts w:asciiTheme="majorHAnsi" w:hAnsiTheme="majorHAnsi"/>
          <w:sz w:val="22"/>
          <w:szCs w:val="22"/>
          <w:vertAlign w:val="superscript"/>
          <w:lang w:val="bs-Latn-BA"/>
        </w:rPr>
        <w:footnoteReference w:id="21"/>
      </w:r>
    </w:p>
    <w:p w14:paraId="42E18F58" w14:textId="11562F80"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da se u finansijskim izvještajima obezbjedi prezentacija uporednih podataka</w:t>
      </w:r>
      <w:r w:rsidRPr="0054107F">
        <w:rPr>
          <w:rFonts w:asciiTheme="majorHAnsi" w:hAnsiTheme="majorHAnsi"/>
          <w:sz w:val="22"/>
          <w:szCs w:val="22"/>
          <w:vertAlign w:val="superscript"/>
          <w:lang w:val="bs-Latn-BA"/>
        </w:rPr>
        <w:footnoteReference w:id="22"/>
      </w:r>
    </w:p>
    <w:p w14:paraId="6244F158" w14:textId="4FD09500"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da se priznavanje rashoda vrši u obračunskom periodu u kojem su rashodi i nastali</w:t>
      </w:r>
      <w:r w:rsidRPr="0054107F">
        <w:rPr>
          <w:rFonts w:asciiTheme="majorHAnsi" w:hAnsiTheme="majorHAnsi"/>
          <w:sz w:val="22"/>
          <w:szCs w:val="22"/>
          <w:vertAlign w:val="superscript"/>
          <w:lang w:val="bs-Latn-BA"/>
        </w:rPr>
        <w:footnoteReference w:id="23"/>
      </w:r>
      <w:r w:rsidRPr="0054107F">
        <w:rPr>
          <w:rFonts w:asciiTheme="majorHAnsi" w:hAnsiTheme="majorHAnsi"/>
          <w:color w:val="000000" w:themeColor="text1"/>
          <w:sz w:val="22"/>
          <w:szCs w:val="22"/>
          <w:lang w:val="bs-Latn-BA"/>
        </w:rPr>
        <w:t xml:space="preserve"> </w:t>
      </w:r>
    </w:p>
    <w:p w14:paraId="09EB96A9" w14:textId="01B3DBB7"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lastRenderedPageBreak/>
        <w:t>pravilnikom ili drugim internim aktom definišu amortizacione stope i</w:t>
      </w:r>
      <w:r w:rsidRPr="0054107F">
        <w:rPr>
          <w:rFonts w:asciiTheme="majorHAnsi" w:hAnsiTheme="majorHAnsi"/>
          <w:color w:val="000000" w:themeColor="text1"/>
          <w:sz w:val="22"/>
          <w:szCs w:val="22"/>
          <w:lang w:val="bs-Latn-BA"/>
        </w:rPr>
        <w:br/>
        <w:t>procijenjeni vijek trajanja pojedinih kategorija stalne imovine.</w:t>
      </w:r>
      <w:r w:rsidRPr="0054107F">
        <w:rPr>
          <w:rFonts w:asciiTheme="majorHAnsi" w:hAnsiTheme="majorHAnsi"/>
          <w:sz w:val="22"/>
          <w:szCs w:val="22"/>
          <w:vertAlign w:val="superscript"/>
          <w:lang w:val="bs-Latn-BA"/>
        </w:rPr>
        <w:footnoteReference w:id="24"/>
      </w:r>
    </w:p>
    <w:p w14:paraId="2DFF9522" w14:textId="5C4C4283" w:rsidR="005B2DF8" w:rsidRPr="0054107F" w:rsidRDefault="005B2DF8" w:rsidP="00754472">
      <w:pPr>
        <w:pStyle w:val="ListParagraph"/>
        <w:numPr>
          <w:ilvl w:val="0"/>
          <w:numId w:val="11"/>
        </w:num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prilikom zaključivanja ugovora o radu u potpunosti primjenjuju odredbe</w:t>
      </w:r>
      <w:r w:rsidRPr="0054107F">
        <w:rPr>
          <w:rFonts w:asciiTheme="majorHAnsi" w:hAnsiTheme="majorHAnsi"/>
          <w:color w:val="000000" w:themeColor="text1"/>
          <w:sz w:val="22"/>
          <w:szCs w:val="22"/>
          <w:lang w:val="bs-Latn-BA"/>
        </w:rPr>
        <w:br/>
        <w:t xml:space="preserve">Zakona o o radu; </w:t>
      </w:r>
      <w:r w:rsidRPr="0054107F">
        <w:rPr>
          <w:rFonts w:asciiTheme="majorHAnsi" w:hAnsiTheme="majorHAnsi"/>
          <w:sz w:val="22"/>
          <w:szCs w:val="22"/>
          <w:vertAlign w:val="superscript"/>
          <w:lang w:val="bs-Latn-BA"/>
        </w:rPr>
        <w:footnoteReference w:id="25"/>
      </w:r>
    </w:p>
    <w:p w14:paraId="4108F49F" w14:textId="77777777" w:rsidR="005B2DF8" w:rsidRPr="0054107F" w:rsidRDefault="005B2DF8" w:rsidP="00754472">
      <w:pPr>
        <w:jc w:val="both"/>
        <w:rPr>
          <w:rFonts w:asciiTheme="majorHAnsi" w:hAnsiTheme="majorHAnsi"/>
          <w:color w:val="000000" w:themeColor="text1"/>
          <w:sz w:val="22"/>
          <w:szCs w:val="22"/>
          <w:lang w:val="bs-Latn-BA"/>
        </w:rPr>
      </w:pPr>
    </w:p>
    <w:p w14:paraId="42FD508E" w14:textId="57D1EDCB" w:rsidR="005B2DF8" w:rsidRPr="0054107F" w:rsidRDefault="005B2DF8"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Simptomatično je i da je u</w:t>
      </w:r>
      <w:r w:rsidR="00EF0F68">
        <w:rPr>
          <w:rFonts w:asciiTheme="majorHAnsi" w:hAnsiTheme="majorHAnsi"/>
          <w:color w:val="000000" w:themeColor="text1"/>
          <w:sz w:val="22"/>
          <w:szCs w:val="22"/>
          <w:lang w:val="bs-Latn-BA"/>
        </w:rPr>
        <w:t xml:space="preserve"> 2</w:t>
      </w:r>
      <w:r w:rsidRPr="0054107F">
        <w:rPr>
          <w:rFonts w:asciiTheme="majorHAnsi" w:hAnsiTheme="majorHAnsi"/>
          <w:color w:val="000000" w:themeColor="text1"/>
          <w:sz w:val="22"/>
          <w:szCs w:val="22"/>
          <w:lang w:val="bs-Latn-BA"/>
        </w:rPr>
        <w:t xml:space="preserve"> od 6 institucija koje imaju negativno revizorsko mišljenje</w:t>
      </w:r>
      <w:r w:rsidR="00EF0F68">
        <w:rPr>
          <w:rFonts w:asciiTheme="majorHAnsi" w:hAnsiTheme="majorHAnsi"/>
          <w:color w:val="000000" w:themeColor="text1"/>
          <w:sz w:val="22"/>
          <w:szCs w:val="22"/>
          <w:lang w:val="bs-Latn-BA"/>
        </w:rPr>
        <w:t xml:space="preserve"> ili mišljenje sa rezervom data</w:t>
      </w:r>
      <w:r w:rsidR="00A01886" w:rsidRPr="0054107F">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preporuka da se izvrši popuna radnog</w:t>
      </w:r>
      <w:r w:rsidR="00A01886" w:rsidRPr="0054107F">
        <w:rPr>
          <w:rFonts w:asciiTheme="majorHAnsi" w:hAnsiTheme="majorHAnsi"/>
          <w:color w:val="000000" w:themeColor="text1"/>
          <w:sz w:val="22"/>
          <w:szCs w:val="22"/>
          <w:lang w:val="bs-Latn-BA"/>
        </w:rPr>
        <w:t xml:space="preserve"> mjesta internog revizora, i </w:t>
      </w:r>
      <w:r w:rsidR="00EF0F68">
        <w:rPr>
          <w:rFonts w:asciiTheme="majorHAnsi" w:hAnsiTheme="majorHAnsi"/>
          <w:color w:val="000000" w:themeColor="text1"/>
          <w:sz w:val="22"/>
          <w:szCs w:val="22"/>
          <w:lang w:val="bs-Latn-BA"/>
        </w:rPr>
        <w:t>u oba slučaja ta je prep</w:t>
      </w:r>
      <w:r w:rsidRPr="0054107F">
        <w:rPr>
          <w:rFonts w:asciiTheme="majorHAnsi" w:hAnsiTheme="majorHAnsi"/>
          <w:color w:val="000000" w:themeColor="text1"/>
          <w:sz w:val="22"/>
          <w:szCs w:val="22"/>
          <w:lang w:val="bs-Latn-BA"/>
        </w:rPr>
        <w:t>o</w:t>
      </w:r>
      <w:r w:rsidR="00EF0F68">
        <w:rPr>
          <w:rFonts w:asciiTheme="majorHAnsi" w:hAnsiTheme="majorHAnsi"/>
          <w:color w:val="000000" w:themeColor="text1"/>
          <w:sz w:val="22"/>
          <w:szCs w:val="22"/>
          <w:lang w:val="bs-Latn-BA"/>
        </w:rPr>
        <w:t>r</w:t>
      </w:r>
      <w:r w:rsidRPr="0054107F">
        <w:rPr>
          <w:rFonts w:asciiTheme="majorHAnsi" w:hAnsiTheme="majorHAnsi"/>
          <w:color w:val="000000" w:themeColor="text1"/>
          <w:sz w:val="22"/>
          <w:szCs w:val="22"/>
          <w:lang w:val="bs-Latn-BA"/>
        </w:rPr>
        <w:t>uka postojala u prethodnom</w:t>
      </w:r>
      <w:r w:rsidR="00A01886" w:rsidRPr="0054107F">
        <w:rPr>
          <w:rFonts w:asciiTheme="majorHAnsi" w:hAnsiTheme="majorHAnsi"/>
          <w:color w:val="000000" w:themeColor="text1"/>
          <w:sz w:val="22"/>
          <w:szCs w:val="22"/>
          <w:lang w:val="bs-Latn-BA"/>
        </w:rPr>
        <w:t xml:space="preserve"> revizorskom izvještaju, ali </w:t>
      </w:r>
      <w:r w:rsidRPr="0054107F">
        <w:rPr>
          <w:rFonts w:asciiTheme="majorHAnsi" w:hAnsiTheme="majorHAnsi"/>
          <w:color w:val="000000" w:themeColor="text1"/>
          <w:sz w:val="22"/>
          <w:szCs w:val="22"/>
          <w:lang w:val="bs-Latn-BA"/>
        </w:rPr>
        <w:t>ona nije ispoštovana uprkos postojanju plana postupanja. I u izvještaju revizije učinka Glavne službe za reviziju javnog sektora Republike Srpske „Zapošljavanje u javnoj upravi“ navede</w:t>
      </w:r>
      <w:r w:rsidR="00EF0F68">
        <w:rPr>
          <w:rFonts w:asciiTheme="majorHAnsi" w:hAnsiTheme="majorHAnsi"/>
          <w:color w:val="000000" w:themeColor="text1"/>
          <w:sz w:val="22"/>
          <w:szCs w:val="22"/>
          <w:lang w:val="bs-Latn-BA"/>
        </w:rPr>
        <w:t>no je kako je jedno od najčešće</w:t>
      </w:r>
      <w:r w:rsidRPr="0054107F">
        <w:rPr>
          <w:rFonts w:asciiTheme="majorHAnsi" w:hAnsiTheme="majorHAnsi"/>
          <w:color w:val="000000" w:themeColor="text1"/>
          <w:sz w:val="22"/>
          <w:szCs w:val="22"/>
          <w:lang w:val="bs-Latn-BA"/>
        </w:rPr>
        <w:t xml:space="preserve"> nepopunjenih radnih mjesta mjesto internog revizora u organima javne uprave.</w:t>
      </w:r>
    </w:p>
    <w:p w14:paraId="51725DC5" w14:textId="77777777" w:rsidR="00A01886" w:rsidRPr="0054107F" w:rsidRDefault="00A01886" w:rsidP="00754472">
      <w:pPr>
        <w:jc w:val="both"/>
        <w:rPr>
          <w:rFonts w:asciiTheme="majorHAnsi" w:hAnsiTheme="majorHAnsi"/>
          <w:i/>
          <w:color w:val="000000" w:themeColor="text1"/>
          <w:sz w:val="22"/>
          <w:szCs w:val="22"/>
          <w:lang w:val="bs-Latn-BA"/>
        </w:rPr>
      </w:pPr>
    </w:p>
    <w:p w14:paraId="3EA69F91" w14:textId="77777777" w:rsidR="00A01886" w:rsidRPr="00A01886" w:rsidRDefault="00A01886" w:rsidP="00A01886">
      <w:pPr>
        <w:jc w:val="both"/>
        <w:rPr>
          <w:rFonts w:asciiTheme="majorHAnsi" w:eastAsia="Calibri" w:hAnsiTheme="majorHAnsi" w:cs="Times New Roman"/>
          <w:i/>
          <w:sz w:val="22"/>
          <w:szCs w:val="22"/>
          <w:lang w:val="bs-Latn-BA"/>
        </w:rPr>
      </w:pPr>
      <w:r w:rsidRPr="00A01886">
        <w:rPr>
          <w:rFonts w:asciiTheme="majorHAnsi" w:eastAsia="Calibri" w:hAnsiTheme="majorHAnsi" w:cs="Times New Roman"/>
          <w:b/>
          <w:sz w:val="22"/>
          <w:szCs w:val="22"/>
          <w:lang w:val="bs-Latn-BA"/>
        </w:rPr>
        <w:t>Zaključak</w:t>
      </w:r>
      <w:r w:rsidRPr="00A01886">
        <w:rPr>
          <w:rFonts w:asciiTheme="majorHAnsi" w:eastAsia="Calibri" w:hAnsiTheme="majorHAnsi" w:cs="Times New Roman"/>
          <w:b/>
          <w:i/>
          <w:sz w:val="22"/>
          <w:szCs w:val="22"/>
          <w:lang w:val="bs-Latn-BA"/>
        </w:rPr>
        <w:t>:</w:t>
      </w:r>
      <w:r w:rsidRPr="00A01886">
        <w:rPr>
          <w:rFonts w:asciiTheme="majorHAnsi" w:eastAsia="Calibri" w:hAnsiTheme="majorHAnsi" w:cs="Times New Roman"/>
          <w:i/>
          <w:sz w:val="22"/>
          <w:szCs w:val="22"/>
          <w:lang w:val="bs-Latn-BA"/>
        </w:rPr>
        <w:t xml:space="preserve"> Uspostavljena je neželjena praksa da institucije ne prezentiraju revizorske izvještaje koje se odnose na njih, a uprkos postojanju planova postupanja utvrđeno je da se nerijetko ne postupa po revizorskim preporukama, te da se stoga preporuke ponavljaju. Jedna od preporuka koja se često ponavlja odnosi se na nepostojanje interne revizije. </w:t>
      </w:r>
    </w:p>
    <w:p w14:paraId="19445CB0" w14:textId="77777777" w:rsidR="00A01886" w:rsidRPr="00A01886" w:rsidRDefault="00A01886" w:rsidP="00A01886">
      <w:pPr>
        <w:jc w:val="both"/>
        <w:rPr>
          <w:rFonts w:asciiTheme="majorHAnsi" w:eastAsia="Calibri" w:hAnsiTheme="majorHAnsi" w:cs="Times New Roman"/>
          <w:i/>
          <w:sz w:val="22"/>
          <w:szCs w:val="22"/>
          <w:lang w:val="bs-Latn-BA"/>
        </w:rPr>
      </w:pPr>
    </w:p>
    <w:p w14:paraId="6EA48BB3" w14:textId="26275511" w:rsidR="00A01886" w:rsidRPr="00A01886" w:rsidRDefault="00A01886" w:rsidP="00A01886">
      <w:pPr>
        <w:jc w:val="both"/>
        <w:rPr>
          <w:rFonts w:asciiTheme="majorHAnsi" w:eastAsia="Calibri" w:hAnsiTheme="majorHAnsi" w:cs="Times New Roman"/>
          <w:i/>
          <w:sz w:val="22"/>
          <w:szCs w:val="22"/>
          <w:lang w:val="bs-Latn-BA"/>
        </w:rPr>
      </w:pPr>
      <w:r w:rsidRPr="00A01886">
        <w:rPr>
          <w:rFonts w:asciiTheme="majorHAnsi" w:eastAsia="Calibri" w:hAnsiTheme="majorHAnsi" w:cs="Times New Roman"/>
          <w:b/>
          <w:sz w:val="22"/>
          <w:szCs w:val="22"/>
          <w:lang w:val="bs-Latn-BA"/>
        </w:rPr>
        <w:t>Preporuka:</w:t>
      </w:r>
      <w:r w:rsidRPr="00A01886">
        <w:rPr>
          <w:rFonts w:asciiTheme="majorHAnsi" w:eastAsia="Calibri" w:hAnsiTheme="majorHAnsi" w:cs="Times New Roman"/>
          <w:i/>
          <w:sz w:val="22"/>
          <w:szCs w:val="22"/>
          <w:lang w:val="bs-Latn-BA"/>
        </w:rPr>
        <w:t xml:space="preserve"> Objavljivati revizorske izvještaje na službenim web stranicama institucija, te uspostaviti praksu prezentiranja planova postupanja po revizorskim preporukama </w:t>
      </w:r>
      <w:r w:rsidR="00B81D77">
        <w:rPr>
          <w:rFonts w:asciiTheme="majorHAnsi" w:eastAsia="Calibri" w:hAnsiTheme="majorHAnsi" w:cs="Times New Roman"/>
          <w:i/>
          <w:sz w:val="22"/>
          <w:szCs w:val="22"/>
          <w:lang w:val="bs-Latn-BA"/>
        </w:rPr>
        <w:t>široj javnosti i izvje</w:t>
      </w:r>
      <w:r w:rsidRPr="00A01886">
        <w:rPr>
          <w:rFonts w:asciiTheme="majorHAnsi" w:eastAsia="Calibri" w:hAnsiTheme="majorHAnsi" w:cs="Times New Roman"/>
          <w:i/>
          <w:sz w:val="22"/>
          <w:szCs w:val="22"/>
          <w:lang w:val="bs-Latn-BA"/>
        </w:rPr>
        <w:t>štavanje ispunjenost</w:t>
      </w:r>
      <w:r w:rsidR="00B81D77">
        <w:rPr>
          <w:rFonts w:asciiTheme="majorHAnsi" w:eastAsia="Calibri" w:hAnsiTheme="majorHAnsi" w:cs="Times New Roman"/>
          <w:i/>
          <w:sz w:val="22"/>
          <w:szCs w:val="22"/>
          <w:lang w:val="bs-Latn-BA"/>
        </w:rPr>
        <w:t>i. Uvesti posebne postupke, koji</w:t>
      </w:r>
      <w:r w:rsidRPr="00A01886">
        <w:rPr>
          <w:rFonts w:asciiTheme="majorHAnsi" w:eastAsia="Calibri" w:hAnsiTheme="majorHAnsi" w:cs="Times New Roman"/>
          <w:i/>
          <w:sz w:val="22"/>
          <w:szCs w:val="22"/>
          <w:lang w:val="bs-Latn-BA"/>
        </w:rPr>
        <w:t xml:space="preserve"> bi podrazumijevali i utvrđivanje odgovrnosti, u situacijama kada institucije ne realizuju preporuke.</w:t>
      </w:r>
    </w:p>
    <w:p w14:paraId="2B842C14" w14:textId="77777777" w:rsidR="00A01886" w:rsidRPr="0054107F" w:rsidRDefault="00A01886" w:rsidP="00754472">
      <w:pPr>
        <w:jc w:val="both"/>
        <w:rPr>
          <w:rFonts w:asciiTheme="majorHAnsi" w:hAnsiTheme="majorHAnsi"/>
          <w:sz w:val="22"/>
          <w:szCs w:val="22"/>
          <w:lang w:val="bs-Latn-BA"/>
        </w:rPr>
      </w:pPr>
    </w:p>
    <w:p w14:paraId="04FA197D" w14:textId="77777777" w:rsidR="000424CE" w:rsidRPr="0054107F" w:rsidRDefault="000424CE" w:rsidP="00754472">
      <w:pPr>
        <w:jc w:val="both"/>
        <w:rPr>
          <w:rFonts w:asciiTheme="majorHAnsi" w:hAnsiTheme="majorHAnsi"/>
          <w:sz w:val="22"/>
          <w:szCs w:val="22"/>
          <w:lang w:val="bs-Latn-BA"/>
        </w:rPr>
      </w:pPr>
    </w:p>
    <w:p w14:paraId="6C40B7A0" w14:textId="4EA7587A" w:rsidR="00C97E94" w:rsidRPr="0054107F" w:rsidRDefault="005B2DF8" w:rsidP="00754472">
      <w:pPr>
        <w:pStyle w:val="ListParagraph"/>
        <w:numPr>
          <w:ilvl w:val="0"/>
          <w:numId w:val="1"/>
        </w:numPr>
        <w:jc w:val="both"/>
        <w:rPr>
          <w:rFonts w:asciiTheme="majorHAnsi" w:hAnsiTheme="majorHAnsi"/>
          <w:b/>
        </w:rPr>
      </w:pPr>
      <w:r w:rsidRPr="0054107F">
        <w:rPr>
          <w:rFonts w:asciiTheme="majorHAnsi" w:hAnsiTheme="majorHAnsi"/>
          <w:b/>
        </w:rPr>
        <w:t>Ugovori o djelu</w:t>
      </w:r>
    </w:p>
    <w:p w14:paraId="769F85F3" w14:textId="77777777" w:rsidR="00333996" w:rsidRPr="0054107F" w:rsidRDefault="00333996" w:rsidP="00754472">
      <w:pPr>
        <w:pStyle w:val="ListParagraph"/>
        <w:jc w:val="both"/>
        <w:rPr>
          <w:rFonts w:asciiTheme="majorHAnsi" w:hAnsiTheme="majorHAnsi"/>
          <w:sz w:val="22"/>
          <w:szCs w:val="22"/>
        </w:rPr>
      </w:pPr>
    </w:p>
    <w:p w14:paraId="60E2BA0E" w14:textId="4ACB7CDE" w:rsidR="00333996" w:rsidRPr="0054107F" w:rsidRDefault="00402FFB" w:rsidP="00754472">
      <w:pPr>
        <w:jc w:val="both"/>
        <w:rPr>
          <w:rFonts w:asciiTheme="majorHAnsi" w:hAnsiTheme="majorHAnsi"/>
          <w:color w:val="000000" w:themeColor="text1"/>
          <w:sz w:val="22"/>
          <w:szCs w:val="22"/>
        </w:rPr>
      </w:pPr>
      <w:r w:rsidRPr="0054107F">
        <w:rPr>
          <w:rFonts w:asciiTheme="majorHAnsi" w:hAnsiTheme="majorHAnsi"/>
          <w:color w:val="000000" w:themeColor="text1"/>
          <w:sz w:val="22"/>
          <w:szCs w:val="22"/>
        </w:rPr>
        <w:t>Na državnom n</w:t>
      </w:r>
      <w:r w:rsidR="0085015F" w:rsidRPr="0054107F">
        <w:rPr>
          <w:rFonts w:asciiTheme="majorHAnsi" w:hAnsiTheme="majorHAnsi"/>
          <w:color w:val="000000" w:themeColor="text1"/>
          <w:sz w:val="22"/>
          <w:szCs w:val="22"/>
        </w:rPr>
        <w:t>ivou na posmatranom uzorku od 12</w:t>
      </w:r>
      <w:r w:rsidRPr="0054107F">
        <w:rPr>
          <w:rFonts w:asciiTheme="majorHAnsi" w:hAnsiTheme="majorHAnsi"/>
          <w:color w:val="000000" w:themeColor="text1"/>
          <w:sz w:val="22"/>
          <w:szCs w:val="22"/>
        </w:rPr>
        <w:t xml:space="preserve"> ins</w:t>
      </w:r>
      <w:r w:rsidR="00530731">
        <w:rPr>
          <w:rFonts w:asciiTheme="majorHAnsi" w:hAnsiTheme="majorHAnsi"/>
          <w:color w:val="000000" w:themeColor="text1"/>
          <w:sz w:val="22"/>
          <w:szCs w:val="22"/>
        </w:rPr>
        <w:t>ti</w:t>
      </w:r>
      <w:r w:rsidRPr="0054107F">
        <w:rPr>
          <w:rFonts w:asciiTheme="majorHAnsi" w:hAnsiTheme="majorHAnsi"/>
          <w:color w:val="000000" w:themeColor="text1"/>
          <w:sz w:val="22"/>
          <w:szCs w:val="22"/>
        </w:rPr>
        <w:t>tucija za r</w:t>
      </w:r>
      <w:r w:rsidR="0085015F" w:rsidRPr="0054107F">
        <w:rPr>
          <w:rFonts w:asciiTheme="majorHAnsi" w:hAnsiTheme="majorHAnsi"/>
          <w:color w:val="000000" w:themeColor="text1"/>
          <w:sz w:val="22"/>
          <w:szCs w:val="22"/>
        </w:rPr>
        <w:t>eferentni period je potrošeno 1.024.142</w:t>
      </w:r>
      <w:proofErr w:type="gramStart"/>
      <w:r w:rsidR="0085015F" w:rsidRPr="0054107F">
        <w:rPr>
          <w:rFonts w:asciiTheme="majorHAnsi" w:hAnsiTheme="majorHAnsi"/>
          <w:color w:val="000000" w:themeColor="text1"/>
          <w:sz w:val="22"/>
          <w:szCs w:val="22"/>
        </w:rPr>
        <w:t>,89</w:t>
      </w:r>
      <w:r w:rsidRPr="0054107F">
        <w:rPr>
          <w:rFonts w:asciiTheme="majorHAnsi" w:hAnsiTheme="majorHAnsi"/>
          <w:color w:val="000000" w:themeColor="text1"/>
          <w:sz w:val="22"/>
          <w:szCs w:val="22"/>
        </w:rPr>
        <w:t>KM</w:t>
      </w:r>
      <w:proofErr w:type="gramEnd"/>
      <w:r w:rsidRPr="0054107F">
        <w:rPr>
          <w:rFonts w:asciiTheme="majorHAnsi" w:hAnsiTheme="majorHAnsi"/>
          <w:color w:val="000000" w:themeColor="text1"/>
          <w:sz w:val="22"/>
          <w:szCs w:val="22"/>
        </w:rPr>
        <w:t xml:space="preserve"> za različite vrste ugovora o djelu. Od toga ubjedljivo</w:t>
      </w:r>
      <w:r w:rsidR="00530731">
        <w:rPr>
          <w:rFonts w:asciiTheme="majorHAnsi" w:hAnsiTheme="majorHAnsi"/>
          <w:color w:val="000000" w:themeColor="text1"/>
          <w:sz w:val="22"/>
          <w:szCs w:val="22"/>
        </w:rPr>
        <w:t xml:space="preserve"> najveći iznos odlazi na Minist</w:t>
      </w:r>
      <w:r w:rsidRPr="0054107F">
        <w:rPr>
          <w:rFonts w:asciiTheme="majorHAnsi" w:hAnsiTheme="majorHAnsi"/>
          <w:color w:val="000000" w:themeColor="text1"/>
          <w:sz w:val="22"/>
          <w:szCs w:val="22"/>
        </w:rPr>
        <w:t xml:space="preserve">arstvo za </w:t>
      </w:r>
      <w:r w:rsidR="0085015F" w:rsidRPr="0054107F">
        <w:rPr>
          <w:rFonts w:asciiTheme="majorHAnsi" w:hAnsiTheme="majorHAnsi"/>
          <w:color w:val="000000" w:themeColor="text1"/>
          <w:sz w:val="22"/>
          <w:szCs w:val="22"/>
        </w:rPr>
        <w:t>ljudska prava i izbjeglice 750.</w:t>
      </w:r>
      <w:r w:rsidRPr="0054107F">
        <w:rPr>
          <w:rFonts w:asciiTheme="majorHAnsi" w:hAnsiTheme="majorHAnsi"/>
          <w:color w:val="000000" w:themeColor="text1"/>
          <w:sz w:val="22"/>
          <w:szCs w:val="22"/>
        </w:rPr>
        <w:t>638</w:t>
      </w:r>
      <w:proofErr w:type="gramStart"/>
      <w:r w:rsidR="0085015F" w:rsidRPr="0054107F">
        <w:rPr>
          <w:rFonts w:asciiTheme="majorHAnsi" w:hAnsiTheme="majorHAnsi"/>
          <w:color w:val="000000" w:themeColor="text1"/>
          <w:sz w:val="22"/>
          <w:szCs w:val="22"/>
        </w:rPr>
        <w:t>,00</w:t>
      </w:r>
      <w:r w:rsidRPr="0054107F">
        <w:rPr>
          <w:rFonts w:asciiTheme="majorHAnsi" w:hAnsiTheme="majorHAnsi"/>
          <w:color w:val="000000" w:themeColor="text1"/>
          <w:sz w:val="22"/>
          <w:szCs w:val="22"/>
        </w:rPr>
        <w:t>KM</w:t>
      </w:r>
      <w:proofErr w:type="gramEnd"/>
      <w:r w:rsidRPr="0054107F">
        <w:rPr>
          <w:rFonts w:asciiTheme="majorHAnsi" w:hAnsiTheme="majorHAnsi"/>
          <w:color w:val="000000" w:themeColor="text1"/>
          <w:sz w:val="22"/>
          <w:szCs w:val="22"/>
        </w:rPr>
        <w:t>. Zanimljivo je da i Ured za reviziju institucija BiH konstatuje u svom izvještaju za reviziju navedenog Ministarstva</w:t>
      </w:r>
      <w:r w:rsidR="0085015F" w:rsidRPr="0054107F">
        <w:rPr>
          <w:rFonts w:asciiTheme="majorHAnsi" w:hAnsiTheme="majorHAnsi"/>
          <w:color w:val="000000" w:themeColor="text1"/>
          <w:sz w:val="22"/>
          <w:szCs w:val="22"/>
        </w:rPr>
        <w:t xml:space="preserve"> </w:t>
      </w:r>
      <w:r w:rsidR="00530731">
        <w:rPr>
          <w:rFonts w:asciiTheme="majorHAnsi" w:hAnsiTheme="majorHAnsi"/>
          <w:color w:val="000000" w:themeColor="text1"/>
          <w:sz w:val="22"/>
          <w:szCs w:val="22"/>
        </w:rPr>
        <w:t xml:space="preserve">da </w:t>
      </w:r>
      <w:r w:rsidRPr="0054107F">
        <w:rPr>
          <w:rFonts w:asciiTheme="majorHAnsi" w:hAnsiTheme="majorHAnsi"/>
          <w:color w:val="000000" w:themeColor="text1"/>
          <w:sz w:val="22"/>
          <w:szCs w:val="22"/>
        </w:rPr>
        <w:t>ni</w:t>
      </w:r>
      <w:r w:rsidR="00530731">
        <w:rPr>
          <w:rFonts w:asciiTheme="majorHAnsi" w:hAnsiTheme="majorHAnsi"/>
          <w:color w:val="000000" w:themeColor="text1"/>
          <w:sz w:val="22"/>
          <w:szCs w:val="22"/>
        </w:rPr>
        <w:t>je postupano po</w:t>
      </w:r>
      <w:r w:rsidRPr="0054107F">
        <w:rPr>
          <w:rFonts w:asciiTheme="majorHAnsi" w:hAnsiTheme="majorHAnsi"/>
          <w:color w:val="000000" w:themeColor="text1"/>
          <w:sz w:val="22"/>
          <w:szCs w:val="22"/>
        </w:rPr>
        <w:t xml:space="preserve"> preporuk</w:t>
      </w:r>
      <w:r w:rsidR="00530731">
        <w:rPr>
          <w:rFonts w:asciiTheme="majorHAnsi" w:hAnsiTheme="majorHAnsi"/>
          <w:color w:val="000000" w:themeColor="text1"/>
          <w:sz w:val="22"/>
          <w:szCs w:val="22"/>
        </w:rPr>
        <w:t>ama koje se odnose na</w:t>
      </w:r>
      <w:r w:rsidR="000424CE" w:rsidRPr="0054107F">
        <w:rPr>
          <w:rFonts w:asciiTheme="majorHAnsi" w:hAnsiTheme="majorHAnsi"/>
          <w:color w:val="000000" w:themeColor="text1"/>
          <w:sz w:val="22"/>
          <w:szCs w:val="22"/>
        </w:rPr>
        <w:t xml:space="preserve"> u</w:t>
      </w:r>
      <w:r w:rsidR="00CF5340">
        <w:rPr>
          <w:rFonts w:asciiTheme="majorHAnsi" w:hAnsiTheme="majorHAnsi"/>
          <w:color w:val="000000" w:themeColor="text1"/>
          <w:sz w:val="22"/>
          <w:szCs w:val="22"/>
        </w:rPr>
        <w:t>napr</w:t>
      </w:r>
      <w:r w:rsidR="00EC4404" w:rsidRPr="0054107F">
        <w:rPr>
          <w:rFonts w:asciiTheme="majorHAnsi" w:hAnsiTheme="majorHAnsi"/>
          <w:color w:val="000000" w:themeColor="text1"/>
          <w:sz w:val="22"/>
          <w:szCs w:val="22"/>
        </w:rPr>
        <w:t>eđenje upravljanja ljudskim resursima</w:t>
      </w:r>
      <w:r w:rsidR="0085015F" w:rsidRPr="0054107F">
        <w:rPr>
          <w:rFonts w:asciiTheme="majorHAnsi" w:hAnsiTheme="majorHAnsi"/>
          <w:color w:val="000000" w:themeColor="text1"/>
          <w:sz w:val="22"/>
          <w:szCs w:val="22"/>
        </w:rPr>
        <w:t>,</w:t>
      </w:r>
      <w:r w:rsidR="00EC4404" w:rsidRPr="0054107F">
        <w:rPr>
          <w:rFonts w:asciiTheme="majorHAnsi" w:hAnsiTheme="majorHAnsi"/>
          <w:color w:val="000000" w:themeColor="text1"/>
          <w:sz w:val="22"/>
          <w:szCs w:val="22"/>
        </w:rPr>
        <w:t xml:space="preserve"> a posebno se upozorava na problem u vezi sa ugovorima u djelu, gdje veliki broj izvršilaca obavlja poslove staln</w:t>
      </w:r>
      <w:r w:rsidR="0085015F" w:rsidRPr="0054107F">
        <w:rPr>
          <w:rFonts w:asciiTheme="majorHAnsi" w:hAnsiTheme="majorHAnsi"/>
          <w:color w:val="000000" w:themeColor="text1"/>
          <w:sz w:val="22"/>
          <w:szCs w:val="22"/>
        </w:rPr>
        <w:t>og karaktera, što svakako predstavlja odstupanje</w:t>
      </w:r>
      <w:r w:rsidR="00EC4404" w:rsidRPr="0054107F">
        <w:rPr>
          <w:rFonts w:asciiTheme="majorHAnsi" w:hAnsiTheme="majorHAnsi"/>
          <w:color w:val="000000" w:themeColor="text1"/>
          <w:sz w:val="22"/>
          <w:szCs w:val="22"/>
        </w:rPr>
        <w:t xml:space="preserve"> od onog što je predviđeno zakonom.</w:t>
      </w:r>
    </w:p>
    <w:p w14:paraId="4961EECE" w14:textId="77777777" w:rsidR="000424CE" w:rsidRPr="0054107F" w:rsidRDefault="000424CE" w:rsidP="00754472">
      <w:pPr>
        <w:jc w:val="both"/>
        <w:rPr>
          <w:rFonts w:asciiTheme="majorHAnsi" w:hAnsiTheme="majorHAnsi"/>
          <w:color w:val="000000" w:themeColor="text1"/>
          <w:sz w:val="22"/>
          <w:szCs w:val="22"/>
        </w:rPr>
      </w:pPr>
    </w:p>
    <w:p w14:paraId="063BDC8A" w14:textId="2ABD33DA" w:rsidR="004C25C4" w:rsidRPr="0054107F" w:rsidRDefault="00D83ACA" w:rsidP="00754472">
      <w:pPr>
        <w:jc w:val="both"/>
        <w:rPr>
          <w:rFonts w:asciiTheme="majorHAnsi" w:hAnsiTheme="majorHAnsi"/>
          <w:sz w:val="22"/>
          <w:szCs w:val="22"/>
          <w:lang w:val="bs-Latn-BA"/>
        </w:rPr>
      </w:pPr>
      <w:r>
        <w:rPr>
          <w:rFonts w:asciiTheme="majorHAnsi" w:hAnsiTheme="majorHAnsi"/>
          <w:sz w:val="22"/>
          <w:szCs w:val="22"/>
          <w:lang w:val="bs-Latn-BA"/>
        </w:rPr>
        <w:t>Na nivou F</w:t>
      </w:r>
      <w:r w:rsidR="0030248C" w:rsidRPr="0054107F">
        <w:rPr>
          <w:rFonts w:asciiTheme="majorHAnsi" w:hAnsiTheme="majorHAnsi"/>
          <w:sz w:val="22"/>
          <w:szCs w:val="22"/>
          <w:lang w:val="bs-Latn-BA"/>
        </w:rPr>
        <w:t>BiH od analiziranih 9 institucija samo u jednoj nije sklopljen niti jedan ug</w:t>
      </w:r>
      <w:r w:rsidR="00B8012C" w:rsidRPr="0054107F">
        <w:rPr>
          <w:rFonts w:asciiTheme="majorHAnsi" w:hAnsiTheme="majorHAnsi"/>
          <w:sz w:val="22"/>
          <w:szCs w:val="22"/>
          <w:lang w:val="bs-Latn-BA"/>
        </w:rPr>
        <w:t>ov</w:t>
      </w:r>
      <w:r w:rsidR="0030248C" w:rsidRPr="0054107F">
        <w:rPr>
          <w:rFonts w:asciiTheme="majorHAnsi" w:hAnsiTheme="majorHAnsi"/>
          <w:sz w:val="22"/>
          <w:szCs w:val="22"/>
          <w:lang w:val="bs-Latn-BA"/>
        </w:rPr>
        <w:t>or o djelu u prote</w:t>
      </w:r>
      <w:r>
        <w:rPr>
          <w:rFonts w:asciiTheme="majorHAnsi" w:hAnsiTheme="majorHAnsi"/>
          <w:sz w:val="22"/>
          <w:szCs w:val="22"/>
          <w:lang w:val="bs-Latn-BA"/>
        </w:rPr>
        <w:t>k</w:t>
      </w:r>
      <w:r w:rsidR="0030248C" w:rsidRPr="0054107F">
        <w:rPr>
          <w:rFonts w:asciiTheme="majorHAnsi" w:hAnsiTheme="majorHAnsi"/>
          <w:sz w:val="22"/>
          <w:szCs w:val="22"/>
          <w:lang w:val="bs-Latn-BA"/>
        </w:rPr>
        <w:t>le dvije godine</w:t>
      </w:r>
      <w:r w:rsidR="004C25C4" w:rsidRPr="0054107F">
        <w:rPr>
          <w:rFonts w:asciiTheme="majorHAnsi" w:hAnsiTheme="majorHAnsi"/>
          <w:sz w:val="22"/>
          <w:szCs w:val="22"/>
          <w:lang w:val="bs-Latn-BA"/>
        </w:rPr>
        <w:t xml:space="preserve">. U </w:t>
      </w:r>
      <w:r w:rsidR="0030248C" w:rsidRPr="0054107F">
        <w:rPr>
          <w:rFonts w:asciiTheme="majorHAnsi" w:hAnsiTheme="majorHAnsi"/>
          <w:sz w:val="22"/>
          <w:szCs w:val="22"/>
          <w:lang w:val="bs-Latn-BA"/>
        </w:rPr>
        <w:t xml:space="preserve">preostalih 8 </w:t>
      </w:r>
      <w:r w:rsidR="004C25C4" w:rsidRPr="0054107F">
        <w:rPr>
          <w:rFonts w:asciiTheme="majorHAnsi" w:hAnsiTheme="majorHAnsi"/>
          <w:sz w:val="22"/>
          <w:szCs w:val="22"/>
          <w:lang w:val="bs-Latn-BA"/>
        </w:rPr>
        <w:t>institucija</w:t>
      </w:r>
      <w:r w:rsidR="00110EDC" w:rsidRPr="0054107F">
        <w:rPr>
          <w:rFonts w:asciiTheme="majorHAnsi" w:hAnsiTheme="majorHAnsi"/>
          <w:sz w:val="22"/>
          <w:szCs w:val="22"/>
          <w:lang w:val="bs-Latn-BA"/>
        </w:rPr>
        <w:t xml:space="preserve"> u toku 2014. i 2015. godine ukupno je sklopljeno 130 ugovora o djelu što je u prosjeku 16 ugovora po instituciji. U</w:t>
      </w:r>
      <w:r w:rsidR="004C25C4" w:rsidRPr="0054107F">
        <w:rPr>
          <w:rFonts w:asciiTheme="majorHAnsi" w:hAnsiTheme="majorHAnsi"/>
          <w:sz w:val="22"/>
          <w:szCs w:val="22"/>
          <w:lang w:val="bs-Latn-BA"/>
        </w:rPr>
        <w:t>kupan iznos sredstava utrošenih za finansiranje ugovora o djelu</w:t>
      </w:r>
      <w:r w:rsidR="00110EDC" w:rsidRPr="0054107F">
        <w:rPr>
          <w:rFonts w:asciiTheme="majorHAnsi" w:hAnsiTheme="majorHAnsi"/>
          <w:sz w:val="22"/>
          <w:szCs w:val="22"/>
          <w:lang w:val="bs-Latn-BA"/>
        </w:rPr>
        <w:t xml:space="preserve"> je procijenjen na 546.087,07KM</w:t>
      </w:r>
      <w:r w:rsidR="004C25C4" w:rsidRPr="0054107F">
        <w:rPr>
          <w:rFonts w:asciiTheme="majorHAnsi" w:hAnsiTheme="majorHAnsi"/>
          <w:sz w:val="22"/>
          <w:szCs w:val="22"/>
          <w:lang w:val="bs-Latn-BA"/>
        </w:rPr>
        <w:t xml:space="preserve">. </w:t>
      </w:r>
      <w:r w:rsidR="00110EDC" w:rsidRPr="0054107F">
        <w:rPr>
          <w:rFonts w:asciiTheme="majorHAnsi" w:hAnsiTheme="majorHAnsi"/>
          <w:sz w:val="22"/>
          <w:szCs w:val="22"/>
          <w:lang w:val="bs-Latn-BA"/>
        </w:rPr>
        <w:t>P</w:t>
      </w:r>
      <w:r w:rsidR="004C25C4" w:rsidRPr="0054107F">
        <w:rPr>
          <w:rFonts w:asciiTheme="majorHAnsi" w:hAnsiTheme="majorHAnsi"/>
          <w:sz w:val="22"/>
          <w:szCs w:val="22"/>
          <w:lang w:val="bs-Latn-BA"/>
        </w:rPr>
        <w:t>redmetom</w:t>
      </w:r>
      <w:r w:rsidR="00110EDC" w:rsidRPr="0054107F">
        <w:rPr>
          <w:rFonts w:asciiTheme="majorHAnsi" w:hAnsiTheme="majorHAnsi"/>
          <w:sz w:val="22"/>
          <w:szCs w:val="22"/>
          <w:lang w:val="bs-Latn-BA"/>
        </w:rPr>
        <w:t xml:space="preserve"> jednog</w:t>
      </w:r>
      <w:r w:rsidR="004C25C4" w:rsidRPr="0054107F">
        <w:rPr>
          <w:rFonts w:asciiTheme="majorHAnsi" w:hAnsiTheme="majorHAnsi"/>
          <w:sz w:val="22"/>
          <w:szCs w:val="22"/>
          <w:lang w:val="bs-Latn-BA"/>
        </w:rPr>
        <w:t xml:space="preserve"> ugovora o dje</w:t>
      </w:r>
      <w:r w:rsidR="00110EDC" w:rsidRPr="0054107F">
        <w:rPr>
          <w:rFonts w:asciiTheme="majorHAnsi" w:hAnsiTheme="majorHAnsi"/>
          <w:sz w:val="22"/>
          <w:szCs w:val="22"/>
          <w:lang w:val="bs-Latn-BA"/>
        </w:rPr>
        <w:t>l</w:t>
      </w:r>
      <w:r w:rsidR="004C25C4" w:rsidRPr="0054107F">
        <w:rPr>
          <w:rFonts w:asciiTheme="majorHAnsi" w:hAnsiTheme="majorHAnsi"/>
          <w:sz w:val="22"/>
          <w:szCs w:val="22"/>
          <w:lang w:val="bs-Latn-BA"/>
        </w:rPr>
        <w:t xml:space="preserve">u </w:t>
      </w:r>
      <w:r w:rsidR="00110EDC" w:rsidRPr="0054107F">
        <w:rPr>
          <w:rFonts w:asciiTheme="majorHAnsi" w:hAnsiTheme="majorHAnsi"/>
          <w:sz w:val="22"/>
          <w:szCs w:val="22"/>
          <w:lang w:val="bs-Latn-BA"/>
        </w:rPr>
        <w:t>su bili poslovi koji su predviđeni sistematizacijom radnih mjesta (</w:t>
      </w:r>
      <w:r w:rsidR="004C25C4" w:rsidRPr="0054107F">
        <w:rPr>
          <w:rFonts w:asciiTheme="majorHAnsi" w:hAnsiTheme="majorHAnsi"/>
          <w:sz w:val="22"/>
          <w:szCs w:val="22"/>
          <w:lang w:val="bs-Latn-BA"/>
        </w:rPr>
        <w:t>Federalno</w:t>
      </w:r>
      <w:r w:rsidR="00110EDC" w:rsidRPr="0054107F">
        <w:rPr>
          <w:rFonts w:asciiTheme="majorHAnsi" w:hAnsiTheme="majorHAnsi"/>
          <w:sz w:val="22"/>
          <w:szCs w:val="22"/>
          <w:lang w:val="bs-Latn-BA"/>
        </w:rPr>
        <w:t xml:space="preserve"> ministarstvo</w:t>
      </w:r>
      <w:r w:rsidR="004C25C4" w:rsidRPr="0054107F">
        <w:rPr>
          <w:rFonts w:asciiTheme="majorHAnsi" w:hAnsiTheme="majorHAnsi"/>
          <w:sz w:val="22"/>
          <w:szCs w:val="22"/>
          <w:lang w:val="bs-Latn-BA"/>
        </w:rPr>
        <w:t xml:space="preserve"> pravde</w:t>
      </w:r>
      <w:r w:rsidR="00110EDC" w:rsidRPr="0054107F">
        <w:rPr>
          <w:rFonts w:asciiTheme="majorHAnsi" w:hAnsiTheme="majorHAnsi"/>
          <w:sz w:val="22"/>
          <w:szCs w:val="22"/>
          <w:lang w:val="bs-Latn-BA"/>
        </w:rPr>
        <w:t>)</w:t>
      </w:r>
      <w:r w:rsidR="004C25C4" w:rsidRPr="0054107F">
        <w:rPr>
          <w:rFonts w:asciiTheme="majorHAnsi" w:hAnsiTheme="majorHAnsi"/>
          <w:sz w:val="22"/>
          <w:szCs w:val="22"/>
          <w:lang w:val="bs-Latn-BA"/>
        </w:rPr>
        <w:t>.</w:t>
      </w:r>
      <w:r w:rsidR="00110EDC" w:rsidRPr="0054107F">
        <w:rPr>
          <w:rFonts w:asciiTheme="majorHAnsi" w:hAnsiTheme="majorHAnsi"/>
          <w:sz w:val="22"/>
          <w:szCs w:val="22"/>
          <w:lang w:val="bs-Latn-BA"/>
        </w:rPr>
        <w:t xml:space="preserve"> U ukupnom broju sklopljenih ugovora, ugovori o djelu za sistematizovana radna mjesta čine 0,8%.</w:t>
      </w:r>
      <w:r w:rsidR="004C25C4" w:rsidRPr="0054107F">
        <w:rPr>
          <w:rFonts w:asciiTheme="majorHAnsi" w:hAnsiTheme="majorHAnsi"/>
          <w:sz w:val="22"/>
          <w:szCs w:val="22"/>
          <w:lang w:val="bs-Latn-BA"/>
        </w:rPr>
        <w:t xml:space="preserve"> Najčešće su predmetom ugovora: higijeničarski, zanatski i drugi pomoćni poslovi. U </w:t>
      </w:r>
      <w:r w:rsidR="00110EDC" w:rsidRPr="0054107F">
        <w:rPr>
          <w:rFonts w:asciiTheme="majorHAnsi" w:hAnsiTheme="majorHAnsi"/>
          <w:sz w:val="22"/>
          <w:szCs w:val="22"/>
          <w:lang w:val="bs-Latn-BA"/>
        </w:rPr>
        <w:t xml:space="preserve">čak </w:t>
      </w:r>
      <w:r w:rsidR="004C25C4" w:rsidRPr="0054107F">
        <w:rPr>
          <w:rFonts w:asciiTheme="majorHAnsi" w:hAnsiTheme="majorHAnsi"/>
          <w:sz w:val="22"/>
          <w:szCs w:val="22"/>
          <w:lang w:val="bs-Latn-BA"/>
        </w:rPr>
        <w:t xml:space="preserve">5 od 9 </w:t>
      </w:r>
      <w:r w:rsidR="00110EDC" w:rsidRPr="0054107F">
        <w:rPr>
          <w:rFonts w:asciiTheme="majorHAnsi" w:hAnsiTheme="majorHAnsi"/>
          <w:sz w:val="22"/>
          <w:szCs w:val="22"/>
          <w:lang w:val="bs-Latn-BA"/>
        </w:rPr>
        <w:t xml:space="preserve">analiziranih </w:t>
      </w:r>
      <w:r w:rsidR="004C25C4" w:rsidRPr="0054107F">
        <w:rPr>
          <w:rFonts w:asciiTheme="majorHAnsi" w:hAnsiTheme="majorHAnsi"/>
          <w:sz w:val="22"/>
          <w:szCs w:val="22"/>
          <w:lang w:val="bs-Latn-BA"/>
        </w:rPr>
        <w:t xml:space="preserve">institucija </w:t>
      </w:r>
      <w:r w:rsidR="00110EDC" w:rsidRPr="0054107F">
        <w:rPr>
          <w:rFonts w:asciiTheme="majorHAnsi" w:hAnsiTheme="majorHAnsi"/>
          <w:sz w:val="22"/>
          <w:szCs w:val="22"/>
          <w:lang w:val="bs-Latn-BA"/>
        </w:rPr>
        <w:t>ne</w:t>
      </w:r>
      <w:r w:rsidR="004C25C4" w:rsidRPr="0054107F">
        <w:rPr>
          <w:rFonts w:asciiTheme="majorHAnsi" w:hAnsiTheme="majorHAnsi"/>
          <w:sz w:val="22"/>
          <w:szCs w:val="22"/>
          <w:lang w:val="bs-Latn-BA"/>
        </w:rPr>
        <w:t xml:space="preserve"> postoji plan </w:t>
      </w:r>
      <w:r>
        <w:rPr>
          <w:rFonts w:asciiTheme="majorHAnsi" w:hAnsiTheme="majorHAnsi"/>
          <w:sz w:val="22"/>
          <w:szCs w:val="22"/>
          <w:lang w:val="bs-Latn-BA"/>
        </w:rPr>
        <w:t>za ugovore</w:t>
      </w:r>
      <w:r w:rsidR="00110EDC" w:rsidRPr="0054107F">
        <w:rPr>
          <w:rFonts w:asciiTheme="majorHAnsi" w:hAnsiTheme="majorHAnsi"/>
          <w:sz w:val="22"/>
          <w:szCs w:val="22"/>
          <w:lang w:val="bs-Latn-BA"/>
        </w:rPr>
        <w:t xml:space="preserve"> o djelu ali je naznačeno da se unaprijed znaju</w:t>
      </w:r>
      <w:r w:rsidR="004C25C4" w:rsidRPr="0054107F">
        <w:rPr>
          <w:rFonts w:asciiTheme="majorHAnsi" w:hAnsiTheme="majorHAnsi"/>
          <w:sz w:val="22"/>
          <w:szCs w:val="22"/>
          <w:lang w:val="bs-Latn-BA"/>
        </w:rPr>
        <w:t xml:space="preserve"> potrebe za ovakvim angažmanom.</w:t>
      </w:r>
      <w:r w:rsidR="0007795B" w:rsidRPr="0054107F">
        <w:rPr>
          <w:rFonts w:asciiTheme="majorHAnsi" w:hAnsiTheme="majorHAnsi"/>
          <w:sz w:val="22"/>
          <w:szCs w:val="22"/>
          <w:lang w:val="bs-Latn-BA"/>
        </w:rPr>
        <w:t xml:space="preserve"> Dakle, preko 55% institucija ne prave plan za ugovore o djelu. </w:t>
      </w:r>
    </w:p>
    <w:p w14:paraId="418850E8" w14:textId="77777777" w:rsidR="004C25C4" w:rsidRPr="0054107F" w:rsidRDefault="004C25C4" w:rsidP="00754472">
      <w:pPr>
        <w:jc w:val="both"/>
        <w:rPr>
          <w:rFonts w:asciiTheme="majorHAnsi" w:hAnsiTheme="majorHAnsi"/>
          <w:sz w:val="22"/>
          <w:szCs w:val="22"/>
          <w:lang w:val="bs-Latn-BA"/>
        </w:rPr>
      </w:pPr>
    </w:p>
    <w:p w14:paraId="3E91AA10" w14:textId="034DAC31" w:rsidR="003D2E72" w:rsidRDefault="003D2E72" w:rsidP="00754472">
      <w:pPr>
        <w:jc w:val="both"/>
        <w:rPr>
          <w:rFonts w:asciiTheme="majorHAnsi" w:hAnsiTheme="majorHAnsi" w:cs="Arial"/>
          <w:sz w:val="22"/>
          <w:szCs w:val="22"/>
          <w:lang w:val="bs-Latn-BA"/>
        </w:rPr>
      </w:pPr>
      <w:r w:rsidRPr="0054107F">
        <w:rPr>
          <w:rFonts w:asciiTheme="majorHAnsi" w:hAnsiTheme="majorHAnsi" w:cs="Arial"/>
          <w:sz w:val="22"/>
          <w:szCs w:val="22"/>
          <w:lang w:val="bs-Latn-BA"/>
        </w:rPr>
        <w:t xml:space="preserve">Zadnji </w:t>
      </w:r>
      <w:r w:rsidR="00B82A7A" w:rsidRPr="0054107F">
        <w:rPr>
          <w:rFonts w:asciiTheme="majorHAnsi" w:hAnsiTheme="majorHAnsi" w:cs="Arial"/>
          <w:sz w:val="22"/>
          <w:szCs w:val="22"/>
          <w:lang w:val="bs-Latn-BA"/>
        </w:rPr>
        <w:t>objavlje</w:t>
      </w:r>
      <w:r w:rsidRPr="0054107F">
        <w:rPr>
          <w:rFonts w:asciiTheme="majorHAnsi" w:hAnsiTheme="majorHAnsi" w:cs="Arial"/>
          <w:sz w:val="22"/>
          <w:szCs w:val="22"/>
          <w:lang w:val="bs-Latn-BA"/>
        </w:rPr>
        <w:t>ni</w:t>
      </w:r>
      <w:r w:rsidR="00B82A7A" w:rsidRPr="0054107F">
        <w:rPr>
          <w:rFonts w:asciiTheme="majorHAnsi" w:hAnsiTheme="majorHAnsi" w:cs="Arial"/>
          <w:sz w:val="22"/>
          <w:szCs w:val="22"/>
          <w:lang w:val="bs-Latn-BA"/>
        </w:rPr>
        <w:t xml:space="preserve"> izvještaj o reviziji učinka</w:t>
      </w:r>
      <w:r w:rsidR="00B82A7A" w:rsidRPr="0054107F">
        <w:rPr>
          <w:rStyle w:val="FootnoteReference"/>
          <w:rFonts w:asciiTheme="majorHAnsi" w:hAnsiTheme="majorHAnsi" w:cs="Arial"/>
          <w:sz w:val="22"/>
          <w:szCs w:val="22"/>
        </w:rPr>
        <w:footnoteReference w:id="26"/>
      </w:r>
      <w:r w:rsidR="00B82A7A" w:rsidRPr="0054107F">
        <w:rPr>
          <w:rFonts w:asciiTheme="majorHAnsi" w:hAnsiTheme="majorHAnsi" w:cs="Arial"/>
          <w:sz w:val="22"/>
          <w:szCs w:val="22"/>
          <w:lang w:val="bs-Latn-BA"/>
        </w:rPr>
        <w:t xml:space="preserve"> </w:t>
      </w:r>
      <w:r w:rsidRPr="0054107F">
        <w:rPr>
          <w:rFonts w:asciiTheme="majorHAnsi" w:hAnsiTheme="majorHAnsi" w:cs="Arial"/>
          <w:sz w:val="22"/>
          <w:szCs w:val="22"/>
          <w:lang w:val="bs-Latn-BA"/>
        </w:rPr>
        <w:t>u FBiH donio je</w:t>
      </w:r>
      <w:r w:rsidR="00B82A7A" w:rsidRPr="0054107F">
        <w:rPr>
          <w:rFonts w:asciiTheme="majorHAnsi" w:hAnsiTheme="majorHAnsi" w:cs="Arial"/>
          <w:sz w:val="22"/>
          <w:szCs w:val="22"/>
          <w:lang w:val="bs-Latn-BA"/>
        </w:rPr>
        <w:t xml:space="preserve"> rezultate analize potrošnje budžetskih sredstava na ugovore o djelu.</w:t>
      </w:r>
      <w:r w:rsidRPr="0054107F">
        <w:rPr>
          <w:rFonts w:asciiTheme="majorHAnsi" w:hAnsiTheme="majorHAnsi" w:cs="Arial"/>
          <w:sz w:val="22"/>
          <w:szCs w:val="22"/>
          <w:lang w:val="bs-Latn-BA"/>
        </w:rPr>
        <w:t xml:space="preserve"> Revizija je utvrdila da</w:t>
      </w:r>
      <w:r w:rsidR="00D83ACA">
        <w:rPr>
          <w:rFonts w:asciiTheme="majorHAnsi" w:hAnsiTheme="majorHAnsi" w:cs="Arial"/>
          <w:sz w:val="22"/>
          <w:szCs w:val="22"/>
          <w:lang w:val="bs-Latn-BA"/>
        </w:rPr>
        <w:t xml:space="preserve"> institucije FBiH</w:t>
      </w:r>
      <w:r w:rsidRPr="0054107F">
        <w:rPr>
          <w:rFonts w:asciiTheme="majorHAnsi" w:hAnsiTheme="majorHAnsi" w:cs="Arial"/>
          <w:sz w:val="22"/>
          <w:szCs w:val="22"/>
          <w:lang w:val="bs-Latn-BA"/>
        </w:rPr>
        <w:t xml:space="preserve"> u toku 2013. nisu poduzele sve </w:t>
      </w:r>
      <w:r w:rsidRPr="0054107F">
        <w:rPr>
          <w:rFonts w:asciiTheme="majorHAnsi" w:hAnsiTheme="majorHAnsi" w:cs="Arial"/>
          <w:sz w:val="22"/>
          <w:szCs w:val="22"/>
          <w:lang w:val="bs-Latn-BA"/>
        </w:rPr>
        <w:lastRenderedPageBreak/>
        <w:t xml:space="preserve">potrebne aktivnosti kako bi se smanjila neproduktivna javna potrošnja u kojoj su i sredstva za ugovore o djelu, te su predočeni sljedeći nalazi: </w:t>
      </w:r>
    </w:p>
    <w:p w14:paraId="55D3846E" w14:textId="77777777" w:rsidR="00D83ACA" w:rsidRPr="0054107F" w:rsidRDefault="00D83ACA" w:rsidP="00754472">
      <w:pPr>
        <w:jc w:val="both"/>
        <w:rPr>
          <w:rFonts w:asciiTheme="majorHAnsi" w:hAnsiTheme="majorHAnsi" w:cs="Arial"/>
          <w:sz w:val="22"/>
          <w:szCs w:val="22"/>
          <w:lang w:val="bs-Latn-BA"/>
        </w:rPr>
      </w:pPr>
    </w:p>
    <w:p w14:paraId="75360206" w14:textId="4D6893CB"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Federalne institucije nisu uspjele da smanje troškove ugovora o djelu. </w:t>
      </w:r>
    </w:p>
    <w:p w14:paraId="33F894B2" w14:textId="3FFAACCF"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Nema provjere regularnosti, niti opravdanosti zaključenih ugovora o djelu. </w:t>
      </w:r>
    </w:p>
    <w:p w14:paraId="626D3585" w14:textId="0EC467C8"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Postoje nedostaci u planiranju ugovora o djelu. </w:t>
      </w:r>
    </w:p>
    <w:p w14:paraId="12AB2CC0" w14:textId="1FCE0A52"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Ugovori o djelu se često potpisuju sa istim osobama. </w:t>
      </w:r>
    </w:p>
    <w:p w14:paraId="4BE077C6" w14:textId="3E6EBB23"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Ugovore o djelu obično neovisno zaključuju rukovodioci federalnih institucija </w:t>
      </w:r>
    </w:p>
    <w:p w14:paraId="7D5FBF57" w14:textId="390E1544" w:rsidR="003D2E72" w:rsidRPr="0054107F" w:rsidRDefault="003D2E72" w:rsidP="00754472">
      <w:pPr>
        <w:pStyle w:val="Default"/>
        <w:numPr>
          <w:ilvl w:val="0"/>
          <w:numId w:val="5"/>
        </w:numPr>
        <w:jc w:val="both"/>
        <w:rPr>
          <w:rFonts w:asciiTheme="majorHAnsi" w:hAnsiTheme="majorHAnsi" w:cs="Arial"/>
          <w:color w:val="auto"/>
          <w:sz w:val="22"/>
          <w:szCs w:val="22"/>
        </w:rPr>
      </w:pPr>
      <w:r w:rsidRPr="0054107F">
        <w:rPr>
          <w:rFonts w:asciiTheme="majorHAnsi" w:hAnsiTheme="majorHAnsi" w:cs="Arial"/>
          <w:color w:val="auto"/>
          <w:sz w:val="22"/>
          <w:szCs w:val="22"/>
        </w:rPr>
        <w:t xml:space="preserve">Nema procedura praćenja zaključenih ugovora o djelu. </w:t>
      </w:r>
    </w:p>
    <w:p w14:paraId="5D3C79B2" w14:textId="6C52AC97"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Federalne institucije ne daju dovoljno informacija o ugovorima o djelu. </w:t>
      </w:r>
    </w:p>
    <w:p w14:paraId="0F6D1C87" w14:textId="77777777" w:rsidR="003D2E72" w:rsidRPr="0054107F" w:rsidRDefault="003D2E72" w:rsidP="00754472">
      <w:pPr>
        <w:pStyle w:val="Default"/>
        <w:jc w:val="both"/>
        <w:rPr>
          <w:rFonts w:asciiTheme="majorHAnsi" w:hAnsiTheme="majorHAnsi" w:cs="Arial"/>
          <w:color w:val="auto"/>
          <w:sz w:val="22"/>
          <w:szCs w:val="22"/>
          <w:lang w:val="en-US"/>
        </w:rPr>
      </w:pPr>
    </w:p>
    <w:p w14:paraId="775A1E60" w14:textId="27132418" w:rsidR="003D2E72" w:rsidRDefault="003D2E72" w:rsidP="00754472">
      <w:pPr>
        <w:pStyle w:val="Default"/>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Provedenom revizijom su identificirani nedostaci u aktivnostima federalnih institucija u zaključivanju ugovora o djelu, </w:t>
      </w:r>
      <w:proofErr w:type="gramStart"/>
      <w:r w:rsidRPr="0054107F">
        <w:rPr>
          <w:rFonts w:asciiTheme="majorHAnsi" w:hAnsiTheme="majorHAnsi" w:cs="Arial"/>
          <w:color w:val="auto"/>
          <w:sz w:val="22"/>
          <w:szCs w:val="22"/>
          <w:lang w:val="en-US"/>
        </w:rPr>
        <w:t>te</w:t>
      </w:r>
      <w:proofErr w:type="gramEnd"/>
      <w:r w:rsidRPr="0054107F">
        <w:rPr>
          <w:rFonts w:asciiTheme="majorHAnsi" w:hAnsiTheme="majorHAnsi" w:cs="Arial"/>
          <w:color w:val="auto"/>
          <w:sz w:val="22"/>
          <w:szCs w:val="22"/>
          <w:lang w:val="en-US"/>
        </w:rPr>
        <w:t xml:space="preserve"> je revizija dala sljedeće preporuke: </w:t>
      </w:r>
    </w:p>
    <w:p w14:paraId="2E8C4562" w14:textId="77777777" w:rsidR="00D83ACA" w:rsidRPr="0054107F" w:rsidRDefault="00D83ACA" w:rsidP="00754472">
      <w:pPr>
        <w:pStyle w:val="Default"/>
        <w:jc w:val="both"/>
        <w:rPr>
          <w:rFonts w:asciiTheme="majorHAnsi" w:hAnsiTheme="majorHAnsi" w:cs="Arial"/>
          <w:color w:val="auto"/>
          <w:sz w:val="22"/>
          <w:szCs w:val="22"/>
          <w:lang w:val="en-US"/>
        </w:rPr>
      </w:pPr>
    </w:p>
    <w:p w14:paraId="46F6EF00" w14:textId="014EC902"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Da izvrše cjelokupnu analizu planiranja i utroška sredstava za ugovore o djelu, kako bi se stvorile osnovne pretpostavke za smanjenje neproduktivne javne potrošnje. </w:t>
      </w:r>
    </w:p>
    <w:p w14:paraId="0A3BA187" w14:textId="46821097"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Da osiguraju da se ne zaključuju ugovori o djelu za obavljanje poslova iz nadležnosti institucije i da se ugovori ne mogu produžavati iz mjeseca u mjesec </w:t>
      </w:r>
      <w:proofErr w:type="gramStart"/>
      <w:r w:rsidRPr="0054107F">
        <w:rPr>
          <w:rFonts w:asciiTheme="majorHAnsi" w:hAnsiTheme="majorHAnsi" w:cs="Arial"/>
          <w:color w:val="auto"/>
          <w:sz w:val="22"/>
          <w:szCs w:val="22"/>
          <w:lang w:val="en-US"/>
        </w:rPr>
        <w:t>sa</w:t>
      </w:r>
      <w:proofErr w:type="gramEnd"/>
      <w:r w:rsidRPr="0054107F">
        <w:rPr>
          <w:rFonts w:asciiTheme="majorHAnsi" w:hAnsiTheme="majorHAnsi" w:cs="Arial"/>
          <w:color w:val="auto"/>
          <w:sz w:val="22"/>
          <w:szCs w:val="22"/>
          <w:lang w:val="en-US"/>
        </w:rPr>
        <w:t xml:space="preserve"> istim osobama za redovne poslove, te da isti sadrže mjerljive indikatore kako bi se mogli mjeriti rezultati urađenog posla. </w:t>
      </w:r>
    </w:p>
    <w:p w14:paraId="2CB0794F" w14:textId="06C359E9"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Da u okviru planiranja sredstava za ugovorene usluge, kod dijela koji se odnosi </w:t>
      </w:r>
      <w:proofErr w:type="gramStart"/>
      <w:r w:rsidRPr="0054107F">
        <w:rPr>
          <w:rFonts w:asciiTheme="majorHAnsi" w:hAnsiTheme="majorHAnsi" w:cs="Arial"/>
          <w:color w:val="auto"/>
          <w:sz w:val="22"/>
          <w:szCs w:val="22"/>
          <w:lang w:val="en-US"/>
        </w:rPr>
        <w:t>na</w:t>
      </w:r>
      <w:proofErr w:type="gramEnd"/>
      <w:r w:rsidRPr="0054107F">
        <w:rPr>
          <w:rFonts w:asciiTheme="majorHAnsi" w:hAnsiTheme="majorHAnsi" w:cs="Arial"/>
          <w:color w:val="auto"/>
          <w:sz w:val="22"/>
          <w:szCs w:val="22"/>
          <w:lang w:val="en-US"/>
        </w:rPr>
        <w:t xml:space="preserve"> ugovore o djelu, odredi cilj za koje poslove se mogu zaključivati ugovori i kakve rezultate treba ostvariti. </w:t>
      </w:r>
    </w:p>
    <w:p w14:paraId="092A8732" w14:textId="0F5CF18D"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Da realizaciju odobrenih sredstava za ugovorene usluge Budžeta FBiH, za ugovore o djelu vrše </w:t>
      </w:r>
      <w:proofErr w:type="gramStart"/>
      <w:r w:rsidRPr="0054107F">
        <w:rPr>
          <w:rFonts w:asciiTheme="majorHAnsi" w:hAnsiTheme="majorHAnsi" w:cs="Arial"/>
          <w:color w:val="auto"/>
          <w:sz w:val="22"/>
          <w:szCs w:val="22"/>
          <w:lang w:val="en-US"/>
        </w:rPr>
        <w:t>na</w:t>
      </w:r>
      <w:proofErr w:type="gramEnd"/>
      <w:r w:rsidRPr="0054107F">
        <w:rPr>
          <w:rFonts w:asciiTheme="majorHAnsi" w:hAnsiTheme="majorHAnsi" w:cs="Arial"/>
          <w:color w:val="auto"/>
          <w:sz w:val="22"/>
          <w:szCs w:val="22"/>
          <w:lang w:val="en-US"/>
        </w:rPr>
        <w:t xml:space="preserve"> osnovu godišnjih planova. </w:t>
      </w:r>
    </w:p>
    <w:p w14:paraId="3F91452F" w14:textId="785B542A" w:rsidR="003D2E72" w:rsidRPr="0054107F" w:rsidRDefault="003D2E72" w:rsidP="00754472">
      <w:pPr>
        <w:pStyle w:val="Default"/>
        <w:numPr>
          <w:ilvl w:val="0"/>
          <w:numId w:val="5"/>
        </w:numPr>
        <w:jc w:val="both"/>
        <w:rPr>
          <w:rFonts w:asciiTheme="majorHAnsi" w:hAnsiTheme="majorHAnsi" w:cs="Arial"/>
          <w:color w:val="auto"/>
          <w:sz w:val="22"/>
          <w:szCs w:val="22"/>
          <w:lang w:val="en-US"/>
        </w:rPr>
      </w:pPr>
      <w:r w:rsidRPr="0054107F">
        <w:rPr>
          <w:rFonts w:asciiTheme="majorHAnsi" w:hAnsiTheme="majorHAnsi" w:cs="Arial"/>
          <w:color w:val="auto"/>
          <w:sz w:val="22"/>
          <w:szCs w:val="22"/>
          <w:lang w:val="en-US"/>
        </w:rPr>
        <w:t xml:space="preserve">Da uspostave proaktivnu razmjenu informacija i saradnju sa drugim institucijama </w:t>
      </w:r>
    </w:p>
    <w:p w14:paraId="5DE630D2" w14:textId="77777777" w:rsidR="003D2E72" w:rsidRDefault="003D2E72" w:rsidP="00754472">
      <w:pPr>
        <w:jc w:val="both"/>
        <w:rPr>
          <w:rFonts w:asciiTheme="majorHAnsi" w:hAnsiTheme="majorHAnsi"/>
          <w:sz w:val="22"/>
          <w:szCs w:val="22"/>
        </w:rPr>
      </w:pPr>
    </w:p>
    <w:p w14:paraId="46CA7AD1" w14:textId="775D0ACB" w:rsidR="00487DBD" w:rsidRPr="0054107F" w:rsidRDefault="00487DBD" w:rsidP="00487DBD">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Na nivou RS, 12 insitucija su u periodu 2014</w:t>
      </w:r>
      <w:r>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w:t>
      </w:r>
      <w:r>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2015. godina potrošili oko 1.364.570,83KM. Ugovori o djelu se niti u jednoj instituciji ne odnose na potrebe iz sistematizacije radnih mjesta, a u samo 3 institucije od 12 postoji Plan usluga koje će biti obezb</w:t>
      </w:r>
      <w:r w:rsidR="00275290">
        <w:rPr>
          <w:rFonts w:asciiTheme="majorHAnsi" w:hAnsiTheme="majorHAnsi"/>
          <w:color w:val="000000" w:themeColor="text1"/>
          <w:sz w:val="22"/>
          <w:szCs w:val="22"/>
          <w:lang w:val="bs-Latn-BA"/>
        </w:rPr>
        <w:t>j</w:t>
      </w:r>
      <w:r w:rsidRPr="0054107F">
        <w:rPr>
          <w:rFonts w:asciiTheme="majorHAnsi" w:hAnsiTheme="majorHAnsi"/>
          <w:color w:val="000000" w:themeColor="text1"/>
          <w:sz w:val="22"/>
          <w:szCs w:val="22"/>
          <w:lang w:val="bs-Latn-BA"/>
        </w:rPr>
        <w:t xml:space="preserve">eđeni ugovorima o djelu, dok u 2 institucije se vrši djelomično planiranje. Na 12 institucija u periodu od dvije godine sklopljeno je 59 ugovora </w:t>
      </w:r>
      <w:r w:rsidR="00C472E2">
        <w:rPr>
          <w:rFonts w:asciiTheme="majorHAnsi" w:hAnsiTheme="majorHAnsi"/>
          <w:color w:val="000000" w:themeColor="text1"/>
          <w:sz w:val="22"/>
          <w:szCs w:val="22"/>
          <w:lang w:val="bs-Latn-BA"/>
        </w:rPr>
        <w:t>o djelu, ili na godišnjem nivou</w:t>
      </w:r>
      <w:r w:rsidRPr="0054107F">
        <w:rPr>
          <w:rFonts w:asciiTheme="majorHAnsi" w:hAnsiTheme="majorHAnsi"/>
          <w:color w:val="000000" w:themeColor="text1"/>
          <w:sz w:val="22"/>
          <w:szCs w:val="22"/>
          <w:lang w:val="bs-Latn-BA"/>
        </w:rPr>
        <w:t xml:space="preserve"> </w:t>
      </w:r>
      <w:r w:rsidR="00C472E2">
        <w:rPr>
          <w:rFonts w:asciiTheme="majorHAnsi" w:hAnsiTheme="majorHAnsi"/>
          <w:color w:val="000000" w:themeColor="text1"/>
          <w:sz w:val="22"/>
          <w:szCs w:val="22"/>
          <w:lang w:val="bs-Latn-BA"/>
        </w:rPr>
        <w:t>2,5</w:t>
      </w:r>
      <w:r w:rsidRPr="0054107F">
        <w:rPr>
          <w:rFonts w:asciiTheme="majorHAnsi" w:hAnsiTheme="majorHAnsi"/>
          <w:color w:val="000000" w:themeColor="text1"/>
          <w:sz w:val="22"/>
          <w:szCs w:val="22"/>
          <w:lang w:val="bs-Latn-BA"/>
        </w:rPr>
        <w:t xml:space="preserve"> ugovora o djelu po instituciji. </w:t>
      </w:r>
    </w:p>
    <w:p w14:paraId="3D56D231" w14:textId="77777777" w:rsidR="00487DBD" w:rsidRPr="0054107F" w:rsidRDefault="00487DBD" w:rsidP="00754472">
      <w:pPr>
        <w:jc w:val="both"/>
        <w:rPr>
          <w:rFonts w:asciiTheme="majorHAnsi" w:hAnsiTheme="majorHAnsi"/>
          <w:sz w:val="22"/>
          <w:szCs w:val="22"/>
        </w:rPr>
      </w:pPr>
    </w:p>
    <w:p w14:paraId="00BE4D1B" w14:textId="1EA1E895" w:rsidR="00A01886" w:rsidRPr="00A01886" w:rsidRDefault="00A01886" w:rsidP="00A01886">
      <w:pPr>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Zaključak</w:t>
      </w:r>
      <w:r w:rsidRPr="00A01886">
        <w:rPr>
          <w:rFonts w:asciiTheme="majorHAnsi" w:eastAsia="Calibri" w:hAnsiTheme="majorHAnsi" w:cs="Times New Roman"/>
          <w:b/>
          <w:bCs/>
          <w:i/>
          <w:iCs/>
          <w:sz w:val="22"/>
          <w:szCs w:val="22"/>
          <w:lang w:val="bs-Latn-BA"/>
        </w:rPr>
        <w:t>:</w:t>
      </w:r>
      <w:r w:rsidRPr="00A01886">
        <w:rPr>
          <w:rFonts w:asciiTheme="majorHAnsi" w:eastAsia="Calibri" w:hAnsiTheme="majorHAnsi" w:cs="Times New Roman"/>
          <w:bCs/>
          <w:i/>
          <w:iCs/>
          <w:sz w:val="22"/>
          <w:szCs w:val="22"/>
          <w:lang w:val="bs-Latn-BA"/>
        </w:rPr>
        <w:t xml:space="preserve"> V</w:t>
      </w:r>
      <w:r w:rsidRPr="00A01886">
        <w:rPr>
          <w:rFonts w:asciiTheme="majorHAnsi" w:eastAsia="Calibri" w:hAnsiTheme="majorHAnsi" w:cs="Times New Roman"/>
          <w:i/>
          <w:sz w:val="22"/>
          <w:szCs w:val="22"/>
          <w:lang w:val="bs-Latn-BA"/>
        </w:rPr>
        <w:t>ećina institucija obuhvaćenih analizom nije ispoštovala opredjeljenja vlasti da se smanj</w:t>
      </w:r>
      <w:r w:rsidR="00D83ACA">
        <w:rPr>
          <w:rFonts w:asciiTheme="majorHAnsi" w:eastAsia="Calibri" w:hAnsiTheme="majorHAnsi" w:cs="Times New Roman"/>
          <w:i/>
          <w:sz w:val="22"/>
          <w:szCs w:val="22"/>
          <w:lang w:val="bs-Latn-BA"/>
        </w:rPr>
        <w:t>i neproduktivna javna potrošnja</w:t>
      </w:r>
      <w:r w:rsidRPr="00A01886">
        <w:rPr>
          <w:rFonts w:asciiTheme="majorHAnsi" w:eastAsia="Calibri" w:hAnsiTheme="majorHAnsi" w:cs="Times New Roman"/>
          <w:i/>
          <w:sz w:val="22"/>
          <w:szCs w:val="22"/>
          <w:lang w:val="bs-Latn-BA"/>
        </w:rPr>
        <w:t xml:space="preserve"> i realizovane aktivnosti u ovoj oblasti nisu značajnije uticale na smanjenje ukupnih izdataka za ugovore o djelu. </w:t>
      </w:r>
    </w:p>
    <w:p w14:paraId="1FA0AD7F" w14:textId="77777777" w:rsidR="00A01886" w:rsidRPr="00A01886" w:rsidRDefault="00A01886" w:rsidP="00A01886">
      <w:pPr>
        <w:jc w:val="both"/>
        <w:rPr>
          <w:rFonts w:asciiTheme="majorHAnsi" w:eastAsia="Calibri" w:hAnsiTheme="majorHAnsi" w:cs="Times New Roman"/>
          <w:sz w:val="22"/>
          <w:szCs w:val="22"/>
          <w:lang w:val="bs-Latn-BA"/>
        </w:rPr>
      </w:pPr>
    </w:p>
    <w:p w14:paraId="6BA93143" w14:textId="5820958A" w:rsidR="00754472" w:rsidRPr="0054107F" w:rsidRDefault="00A01886" w:rsidP="00332E34">
      <w:pPr>
        <w:spacing w:after="240"/>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Preporuka:</w:t>
      </w:r>
      <w:r w:rsidRPr="00A01886">
        <w:rPr>
          <w:rFonts w:asciiTheme="majorHAnsi" w:eastAsia="Calibri" w:hAnsiTheme="majorHAnsi" w:cs="Times New Roman"/>
          <w:bCs/>
          <w:iCs/>
          <w:sz w:val="22"/>
          <w:szCs w:val="22"/>
          <w:lang w:val="bs-Latn-BA"/>
        </w:rPr>
        <w:t xml:space="preserve"> </w:t>
      </w:r>
      <w:r w:rsidRPr="00A01886">
        <w:rPr>
          <w:rFonts w:asciiTheme="majorHAnsi" w:eastAsia="Calibri" w:hAnsiTheme="majorHAnsi" w:cs="Times New Roman"/>
          <w:bCs/>
          <w:i/>
          <w:iCs/>
          <w:sz w:val="22"/>
          <w:szCs w:val="22"/>
          <w:lang w:val="bs-Latn-BA"/>
        </w:rPr>
        <w:t>Uputno bi bilo ugovore o djelu zaključivati samo za poslove koji nisu definirani pravilnicima o unu</w:t>
      </w:r>
      <w:r w:rsidR="00D83ACA">
        <w:rPr>
          <w:rFonts w:asciiTheme="majorHAnsi" w:eastAsia="Calibri" w:hAnsiTheme="majorHAnsi" w:cs="Times New Roman"/>
          <w:bCs/>
          <w:i/>
          <w:iCs/>
          <w:sz w:val="22"/>
          <w:szCs w:val="22"/>
          <w:lang w:val="bs-Latn-BA"/>
        </w:rPr>
        <w:t>trašnjoj</w:t>
      </w:r>
      <w:r w:rsidRPr="00A01886">
        <w:rPr>
          <w:rFonts w:asciiTheme="majorHAnsi" w:eastAsia="Calibri" w:hAnsiTheme="majorHAnsi" w:cs="Times New Roman"/>
          <w:bCs/>
          <w:i/>
          <w:iCs/>
          <w:sz w:val="22"/>
          <w:szCs w:val="22"/>
          <w:lang w:val="bs-Latn-BA"/>
        </w:rPr>
        <w:t xml:space="preserve"> organizaciji, iste zaključivati na određeno vrijeme, jednokratno, a u skladu sa zakonskim propisima i za tačno definisane poslove koje treba izvršiti, te smanjiti izdatke po ovom osnovu.</w:t>
      </w:r>
    </w:p>
    <w:p w14:paraId="7B40FC16" w14:textId="77777777" w:rsidR="00A01886" w:rsidRPr="0054107F" w:rsidRDefault="00A01886" w:rsidP="00754472">
      <w:pPr>
        <w:jc w:val="both"/>
        <w:rPr>
          <w:rFonts w:asciiTheme="majorHAnsi" w:eastAsia="Calibri" w:hAnsiTheme="majorHAnsi" w:cs="Times New Roman"/>
          <w:bCs/>
          <w:i/>
          <w:iCs/>
          <w:sz w:val="22"/>
          <w:szCs w:val="22"/>
          <w:lang w:val="bs-Latn-BA"/>
        </w:rPr>
      </w:pPr>
    </w:p>
    <w:p w14:paraId="3CFA734B" w14:textId="77777777" w:rsidR="00C97E94"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Javne nabavke</w:t>
      </w:r>
    </w:p>
    <w:p w14:paraId="6F25DE62" w14:textId="77777777" w:rsidR="00C97E94" w:rsidRPr="0054107F" w:rsidRDefault="00C97E94" w:rsidP="00754472">
      <w:pPr>
        <w:jc w:val="both"/>
        <w:rPr>
          <w:rFonts w:asciiTheme="majorHAnsi" w:hAnsiTheme="majorHAnsi"/>
          <w:sz w:val="22"/>
          <w:szCs w:val="22"/>
        </w:rPr>
      </w:pPr>
    </w:p>
    <w:p w14:paraId="6F01CC64" w14:textId="152D6675" w:rsidR="001658EC" w:rsidRPr="0054107F" w:rsidRDefault="0085015F" w:rsidP="00754472">
      <w:pPr>
        <w:jc w:val="both"/>
        <w:rPr>
          <w:rFonts w:asciiTheme="majorHAnsi" w:hAnsiTheme="majorHAnsi"/>
          <w:sz w:val="22"/>
          <w:szCs w:val="22"/>
        </w:rPr>
      </w:pPr>
      <w:r w:rsidRPr="0054107F">
        <w:rPr>
          <w:rFonts w:asciiTheme="majorHAnsi" w:hAnsiTheme="majorHAnsi"/>
          <w:color w:val="000000" w:themeColor="text1"/>
          <w:sz w:val="22"/>
          <w:szCs w:val="22"/>
        </w:rPr>
        <w:t>Na državnom nivou kod svih 12</w:t>
      </w:r>
      <w:r w:rsidR="005B7CC9" w:rsidRPr="0054107F">
        <w:rPr>
          <w:rFonts w:asciiTheme="majorHAnsi" w:hAnsiTheme="majorHAnsi"/>
          <w:color w:val="000000" w:themeColor="text1"/>
          <w:sz w:val="22"/>
          <w:szCs w:val="22"/>
        </w:rPr>
        <w:t xml:space="preserve"> institucija postoje javno dostupni (putem web stranice) planovi javnih nabavki. </w:t>
      </w:r>
      <w:r w:rsidR="00D83ACA">
        <w:rPr>
          <w:rFonts w:asciiTheme="majorHAnsi" w:hAnsiTheme="majorHAnsi"/>
          <w:color w:val="000000" w:themeColor="text1"/>
          <w:sz w:val="22"/>
          <w:szCs w:val="22"/>
        </w:rPr>
        <w:t>U F</w:t>
      </w:r>
      <w:r w:rsidR="005E245A" w:rsidRPr="0054107F">
        <w:rPr>
          <w:rFonts w:asciiTheme="majorHAnsi" w:hAnsiTheme="majorHAnsi"/>
          <w:color w:val="000000" w:themeColor="text1"/>
          <w:sz w:val="22"/>
          <w:szCs w:val="22"/>
        </w:rPr>
        <w:t xml:space="preserve">BiH </w:t>
      </w:r>
      <w:r w:rsidR="005E245A" w:rsidRPr="0054107F">
        <w:rPr>
          <w:rFonts w:asciiTheme="majorHAnsi" w:hAnsiTheme="majorHAnsi"/>
          <w:sz w:val="22"/>
          <w:szCs w:val="22"/>
        </w:rPr>
        <w:t>plan javnih nabavki je javno dostupan kod 7 institucija</w:t>
      </w:r>
      <w:r w:rsidR="005B7CC9" w:rsidRPr="0054107F">
        <w:rPr>
          <w:rFonts w:asciiTheme="majorHAnsi" w:hAnsiTheme="majorHAnsi"/>
          <w:sz w:val="22"/>
          <w:szCs w:val="22"/>
        </w:rPr>
        <w:t xml:space="preserve"> </w:t>
      </w:r>
      <w:proofErr w:type="gramStart"/>
      <w:r w:rsidR="005B7CC9" w:rsidRPr="0054107F">
        <w:rPr>
          <w:rFonts w:asciiTheme="majorHAnsi" w:hAnsiTheme="majorHAnsi"/>
          <w:sz w:val="22"/>
          <w:szCs w:val="22"/>
        </w:rPr>
        <w:t>od</w:t>
      </w:r>
      <w:proofErr w:type="gramEnd"/>
      <w:r w:rsidR="005B7CC9" w:rsidRPr="0054107F">
        <w:rPr>
          <w:rFonts w:asciiTheme="majorHAnsi" w:hAnsiTheme="majorHAnsi"/>
          <w:sz w:val="22"/>
          <w:szCs w:val="22"/>
        </w:rPr>
        <w:t xml:space="preserve"> 9 koliko ih je učestvovalo u istraživanju</w:t>
      </w:r>
      <w:r w:rsidR="005E245A" w:rsidRPr="0054107F">
        <w:rPr>
          <w:rFonts w:asciiTheme="majorHAnsi" w:hAnsiTheme="majorHAnsi"/>
          <w:sz w:val="22"/>
          <w:szCs w:val="22"/>
        </w:rPr>
        <w:t>.</w:t>
      </w:r>
      <w:r w:rsidR="00D83ACA" w:rsidRPr="00D83ACA">
        <w:rPr>
          <w:rFonts w:asciiTheme="majorHAnsi" w:hAnsiTheme="majorHAnsi"/>
          <w:color w:val="000000" w:themeColor="text1"/>
          <w:sz w:val="22"/>
          <w:szCs w:val="22"/>
        </w:rPr>
        <w:t xml:space="preserve"> </w:t>
      </w:r>
      <w:r w:rsidR="00D83ACA" w:rsidRPr="0054107F">
        <w:rPr>
          <w:rFonts w:asciiTheme="majorHAnsi" w:hAnsiTheme="majorHAnsi"/>
          <w:color w:val="000000" w:themeColor="text1"/>
          <w:sz w:val="22"/>
          <w:szCs w:val="22"/>
        </w:rPr>
        <w:t xml:space="preserve">Na nivou RS, </w:t>
      </w:r>
      <w:proofErr w:type="gramStart"/>
      <w:r w:rsidR="00D83ACA" w:rsidRPr="0054107F">
        <w:rPr>
          <w:rFonts w:asciiTheme="majorHAnsi" w:hAnsiTheme="majorHAnsi"/>
          <w:color w:val="000000" w:themeColor="text1"/>
          <w:sz w:val="22"/>
          <w:szCs w:val="22"/>
        </w:rPr>
        <w:t>od</w:t>
      </w:r>
      <w:proofErr w:type="gramEnd"/>
      <w:r w:rsidR="00D83ACA" w:rsidRPr="0054107F">
        <w:rPr>
          <w:rFonts w:asciiTheme="majorHAnsi" w:hAnsiTheme="majorHAnsi"/>
          <w:color w:val="000000" w:themeColor="text1"/>
          <w:sz w:val="22"/>
          <w:szCs w:val="22"/>
        </w:rPr>
        <w:t xml:space="preserve"> 11 institucija samo 3 imaju javno dostupan plan javnih nabavki.</w:t>
      </w:r>
    </w:p>
    <w:p w14:paraId="3F13964B" w14:textId="77777777" w:rsidR="00880EE9" w:rsidRDefault="00880EE9" w:rsidP="00754472">
      <w:pPr>
        <w:jc w:val="both"/>
        <w:rPr>
          <w:rFonts w:asciiTheme="majorHAnsi" w:hAnsiTheme="majorHAnsi"/>
          <w:sz w:val="22"/>
          <w:szCs w:val="22"/>
          <w:lang w:val="bs-Latn-BA"/>
        </w:rPr>
      </w:pPr>
    </w:p>
    <w:p w14:paraId="0F1D61FB" w14:textId="3223D002" w:rsidR="0063038D" w:rsidRPr="0054107F" w:rsidRDefault="0063038D" w:rsidP="0063038D">
      <w:pPr>
        <w:jc w:val="both"/>
        <w:rPr>
          <w:rFonts w:asciiTheme="majorHAnsi" w:hAnsiTheme="majorHAnsi"/>
          <w:bCs/>
          <w:sz w:val="22"/>
          <w:szCs w:val="22"/>
          <w:lang w:val="bs-Latn-BA"/>
        </w:rPr>
      </w:pPr>
      <w:r w:rsidRPr="0054107F">
        <w:rPr>
          <w:rFonts w:asciiTheme="majorHAnsi" w:hAnsiTheme="majorHAnsi"/>
          <w:bCs/>
          <w:sz w:val="22"/>
          <w:szCs w:val="22"/>
          <w:lang w:val="bs-Latn-BA"/>
        </w:rPr>
        <w:t>Revizijom finansijskih izvještaja Federalne direkcije robnih rezervi nisu utvrđeni značajniji propusti i nepravilnosti u provedenim postupcima</w:t>
      </w:r>
      <w:r>
        <w:rPr>
          <w:rFonts w:asciiTheme="majorHAnsi" w:hAnsiTheme="majorHAnsi"/>
          <w:bCs/>
          <w:sz w:val="22"/>
          <w:szCs w:val="22"/>
          <w:lang w:val="bs-Latn-BA"/>
        </w:rPr>
        <w:t xml:space="preserve"> </w:t>
      </w:r>
      <w:r w:rsidRPr="0054107F">
        <w:rPr>
          <w:rFonts w:asciiTheme="majorHAnsi" w:hAnsiTheme="majorHAnsi"/>
          <w:bCs/>
          <w:sz w:val="22"/>
          <w:szCs w:val="22"/>
          <w:lang w:val="bs-Latn-BA"/>
        </w:rPr>
        <w:t xml:space="preserve">dodjele ugovora putem pregovaračkog postupka, konkurentskih zahtjeva i direktnih sporazuma. Međutim, kod ograničenog ubrzanog postupka Ured za reviziju nije mogao potvrditi da su ispoštovane sve procedure propisane Zakonom o javnim nabavama </w:t>
      </w:r>
      <w:r w:rsidRPr="0054107F">
        <w:rPr>
          <w:rFonts w:asciiTheme="majorHAnsi" w:hAnsiTheme="majorHAnsi"/>
          <w:bCs/>
          <w:sz w:val="22"/>
          <w:szCs w:val="22"/>
          <w:lang w:val="bs-Latn-BA"/>
        </w:rPr>
        <w:lastRenderedPageBreak/>
        <w:t>i njegovim provedbenim aktima, jer nisu bili ispunjeni zakonom propisani uvjeti za njegovu primjenu i što se šire obrazloženo u Izvještaju</w:t>
      </w:r>
      <w:r w:rsidRPr="0054107F">
        <w:rPr>
          <w:rStyle w:val="FootnoteReference"/>
          <w:rFonts w:asciiTheme="majorHAnsi" w:hAnsiTheme="majorHAnsi"/>
          <w:bCs/>
          <w:sz w:val="22"/>
          <w:szCs w:val="22"/>
        </w:rPr>
        <w:footnoteReference w:id="27"/>
      </w:r>
      <w:r w:rsidRPr="0054107F">
        <w:rPr>
          <w:rFonts w:asciiTheme="majorHAnsi" w:hAnsiTheme="majorHAnsi"/>
          <w:bCs/>
          <w:sz w:val="22"/>
          <w:szCs w:val="22"/>
          <w:lang w:val="bs-Latn-BA"/>
        </w:rPr>
        <w:t xml:space="preserve">. </w:t>
      </w:r>
    </w:p>
    <w:p w14:paraId="7544A449" w14:textId="77777777" w:rsidR="0063038D" w:rsidRPr="0054107F" w:rsidRDefault="0063038D" w:rsidP="0063038D">
      <w:pPr>
        <w:jc w:val="both"/>
        <w:rPr>
          <w:rFonts w:asciiTheme="majorHAnsi" w:hAnsiTheme="majorHAnsi"/>
          <w:bCs/>
          <w:sz w:val="22"/>
          <w:szCs w:val="22"/>
          <w:lang w:val="bs-Latn-BA"/>
        </w:rPr>
      </w:pPr>
    </w:p>
    <w:p w14:paraId="655F7702" w14:textId="77777777" w:rsidR="0063038D" w:rsidRDefault="0063038D" w:rsidP="0063038D">
      <w:pPr>
        <w:jc w:val="both"/>
        <w:rPr>
          <w:rFonts w:asciiTheme="majorHAnsi" w:hAnsiTheme="majorHAnsi"/>
          <w:bCs/>
          <w:sz w:val="22"/>
          <w:szCs w:val="22"/>
          <w:lang w:val="bs-Latn-BA"/>
        </w:rPr>
      </w:pPr>
      <w:r w:rsidRPr="0054107F">
        <w:rPr>
          <w:rFonts w:asciiTheme="majorHAnsi" w:hAnsiTheme="majorHAnsi"/>
          <w:bCs/>
          <w:sz w:val="22"/>
          <w:szCs w:val="22"/>
          <w:lang w:val="bs-Latn-BA"/>
        </w:rPr>
        <w:t>Samo neke od preporuka revizijskih izvještaja analiziranih institucija na federalnom nivou za 2014. godinu a koje se odnose na javne nabavke su:</w:t>
      </w:r>
    </w:p>
    <w:p w14:paraId="16F223AD" w14:textId="77777777" w:rsidR="0063038D" w:rsidRPr="0054107F" w:rsidRDefault="0063038D" w:rsidP="0063038D">
      <w:pPr>
        <w:jc w:val="both"/>
        <w:rPr>
          <w:rFonts w:asciiTheme="majorHAnsi" w:hAnsiTheme="majorHAnsi"/>
          <w:bCs/>
          <w:sz w:val="22"/>
          <w:szCs w:val="22"/>
          <w:lang w:val="bs-Latn-BA"/>
        </w:rPr>
      </w:pPr>
    </w:p>
    <w:p w14:paraId="1A65768C" w14:textId="77777777" w:rsidR="0063038D" w:rsidRPr="0054107F" w:rsidRDefault="0063038D" w:rsidP="0063038D">
      <w:pPr>
        <w:pStyle w:val="ListParagraph"/>
        <w:numPr>
          <w:ilvl w:val="0"/>
          <w:numId w:val="3"/>
        </w:numPr>
        <w:jc w:val="both"/>
        <w:rPr>
          <w:rFonts w:asciiTheme="majorHAnsi" w:hAnsiTheme="majorHAnsi"/>
          <w:sz w:val="22"/>
          <w:szCs w:val="22"/>
          <w:lang w:val="bs-Latn-BA"/>
        </w:rPr>
      </w:pPr>
      <w:r w:rsidRPr="0054107F">
        <w:rPr>
          <w:rFonts w:asciiTheme="majorHAnsi" w:hAnsiTheme="majorHAnsi" w:cs="Calibri"/>
          <w:bCs/>
          <w:iCs/>
          <w:color w:val="000000"/>
          <w:sz w:val="22"/>
          <w:szCs w:val="22"/>
          <w:lang w:val="bs-Latn-BA"/>
        </w:rPr>
        <w:t>Sve nabave planirati godišnjim planom, vršiti pravilan odabir vrste postupaka i iste započinjati blagovremeno i provoditi uz potpunu i dosljednu primjenu procedura propisanih Zakonom o javnim nabavama i njegovim provedbenim aktima. Radi efikasnijeg trošenja budžetskih sredstava i u pregovaračkim postupcima uspostaviti i osigurati konkurentnost, izbjegavati postupke koji će ovisiti samo od jednog kandidata,</w:t>
      </w:r>
      <w:r w:rsidRPr="0054107F">
        <w:rPr>
          <w:rStyle w:val="FootnoteReference"/>
          <w:rFonts w:asciiTheme="majorHAnsi" w:hAnsiTheme="majorHAnsi"/>
          <w:bCs/>
          <w:sz w:val="22"/>
          <w:szCs w:val="22"/>
        </w:rPr>
        <w:footnoteReference w:id="28"/>
      </w:r>
      <w:r w:rsidRPr="0054107F">
        <w:rPr>
          <w:rFonts w:asciiTheme="majorHAnsi" w:hAnsiTheme="majorHAnsi" w:cs="Calibri"/>
          <w:bCs/>
          <w:iCs/>
          <w:color w:val="000000"/>
          <w:sz w:val="22"/>
          <w:szCs w:val="22"/>
          <w:lang w:val="bs-Latn-BA"/>
        </w:rPr>
        <w:t xml:space="preserve"> </w:t>
      </w:r>
    </w:p>
    <w:p w14:paraId="4181A523" w14:textId="77777777" w:rsidR="0063038D" w:rsidRPr="0054107F" w:rsidRDefault="0063038D" w:rsidP="0063038D">
      <w:pPr>
        <w:pStyle w:val="ListParagraph"/>
        <w:numPr>
          <w:ilvl w:val="0"/>
          <w:numId w:val="3"/>
        </w:numPr>
        <w:tabs>
          <w:tab w:val="left" w:pos="6600"/>
        </w:tabs>
        <w:jc w:val="both"/>
        <w:rPr>
          <w:rFonts w:asciiTheme="majorHAnsi" w:hAnsiTheme="majorHAnsi"/>
          <w:sz w:val="22"/>
          <w:szCs w:val="22"/>
          <w:lang w:val="bs-Latn-BA"/>
        </w:rPr>
      </w:pPr>
      <w:r w:rsidRPr="0054107F">
        <w:rPr>
          <w:rFonts w:asciiTheme="majorHAnsi" w:hAnsiTheme="majorHAnsi" w:cs="Calibri"/>
          <w:bCs/>
          <w:iCs/>
          <w:color w:val="000000"/>
          <w:sz w:val="22"/>
          <w:szCs w:val="22"/>
          <w:lang w:val="bs-Latn-BA"/>
        </w:rPr>
        <w:t xml:space="preserve">Dosljedno i u potpunosti poštivati odredbe člana 6.i člana 30. Zakona o javnim nabavkama BiH, u dijelu provođenja odgovarajućeg postupka nabavke i dijeljenja predmeta nabavke, kao i vođenja pregovaračkog postupka, </w:t>
      </w:r>
      <w:r w:rsidRPr="0054107F">
        <w:rPr>
          <w:rStyle w:val="FootnoteReference"/>
          <w:rFonts w:asciiTheme="majorHAnsi" w:hAnsiTheme="majorHAnsi" w:cs="Calibri"/>
          <w:bCs/>
          <w:iCs/>
          <w:color w:val="000000"/>
          <w:sz w:val="22"/>
          <w:szCs w:val="22"/>
          <w:lang w:val="bs-Latn-BA"/>
        </w:rPr>
        <w:footnoteReference w:id="29"/>
      </w:r>
    </w:p>
    <w:p w14:paraId="25A9061C" w14:textId="77777777" w:rsidR="0063038D" w:rsidRPr="0054107F" w:rsidRDefault="0063038D" w:rsidP="0063038D">
      <w:pPr>
        <w:pStyle w:val="ListParagraph"/>
        <w:numPr>
          <w:ilvl w:val="0"/>
          <w:numId w:val="3"/>
        </w:numPr>
        <w:tabs>
          <w:tab w:val="left" w:pos="6600"/>
        </w:tabs>
        <w:jc w:val="both"/>
        <w:rPr>
          <w:rFonts w:asciiTheme="majorHAnsi" w:hAnsiTheme="majorHAnsi"/>
          <w:sz w:val="22"/>
          <w:szCs w:val="22"/>
          <w:lang w:val="bs-Latn-BA"/>
        </w:rPr>
      </w:pPr>
      <w:r w:rsidRPr="0054107F">
        <w:rPr>
          <w:rFonts w:asciiTheme="majorHAnsi" w:hAnsiTheme="majorHAnsi" w:cs="Calibri"/>
          <w:bCs/>
          <w:iCs/>
          <w:color w:val="000000"/>
          <w:sz w:val="22"/>
          <w:szCs w:val="22"/>
          <w:lang w:val="bs-Latn-BA"/>
        </w:rPr>
        <w:t>Dosljedno i u potpunosti poštivati odredbe zaključenih ugovora, koje se odnose na rok isporuke i obezbjeđenje bankovne garancije, te ugovorima predvidjeti kaznene odredbe u slučaju prekoračenja roka izvođenja radova/usluga.</w:t>
      </w:r>
      <w:r w:rsidRPr="0054107F">
        <w:rPr>
          <w:rStyle w:val="FootnoteReference"/>
          <w:rFonts w:asciiTheme="majorHAnsi" w:hAnsiTheme="majorHAnsi" w:cs="Calibri"/>
          <w:bCs/>
          <w:iCs/>
          <w:color w:val="000000"/>
          <w:sz w:val="22"/>
          <w:szCs w:val="22"/>
          <w:lang w:val="bs-Latn-BA"/>
        </w:rPr>
        <w:t xml:space="preserve"> </w:t>
      </w:r>
      <w:r w:rsidRPr="0054107F">
        <w:rPr>
          <w:rStyle w:val="FootnoteReference"/>
          <w:rFonts w:asciiTheme="majorHAnsi" w:hAnsiTheme="majorHAnsi" w:cs="Calibri"/>
          <w:bCs/>
          <w:iCs/>
          <w:color w:val="000000"/>
          <w:sz w:val="22"/>
          <w:szCs w:val="22"/>
          <w:lang w:val="bs-Latn-BA"/>
        </w:rPr>
        <w:footnoteReference w:id="30"/>
      </w:r>
    </w:p>
    <w:p w14:paraId="4D71502B" w14:textId="77777777" w:rsidR="0063038D" w:rsidRPr="0054107F" w:rsidRDefault="0063038D" w:rsidP="00754472">
      <w:pPr>
        <w:jc w:val="both"/>
        <w:rPr>
          <w:rFonts w:asciiTheme="majorHAnsi" w:hAnsiTheme="majorHAnsi"/>
          <w:sz w:val="22"/>
          <w:szCs w:val="22"/>
          <w:lang w:val="bs-Latn-BA"/>
        </w:rPr>
      </w:pPr>
    </w:p>
    <w:p w14:paraId="6D799263" w14:textId="187CC0D6" w:rsidR="00880EE9" w:rsidRDefault="00A01886" w:rsidP="00754472">
      <w:pPr>
        <w:jc w:val="both"/>
        <w:rPr>
          <w:rFonts w:asciiTheme="majorHAnsi" w:hAnsiTheme="majorHAnsi"/>
          <w:sz w:val="22"/>
          <w:szCs w:val="22"/>
          <w:lang w:val="bs-Latn-BA"/>
        </w:rPr>
      </w:pPr>
      <w:r w:rsidRPr="0054107F">
        <w:rPr>
          <w:rFonts w:asciiTheme="majorHAnsi" w:hAnsiTheme="majorHAnsi"/>
          <w:sz w:val="22"/>
          <w:szCs w:val="22"/>
          <w:lang w:val="bs-Latn-BA"/>
        </w:rPr>
        <w:t>Od 7</w:t>
      </w:r>
      <w:r w:rsidR="00880EE9" w:rsidRPr="0054107F">
        <w:rPr>
          <w:rFonts w:asciiTheme="majorHAnsi" w:hAnsiTheme="majorHAnsi"/>
          <w:sz w:val="22"/>
          <w:szCs w:val="22"/>
          <w:lang w:val="bs-Latn-BA"/>
        </w:rPr>
        <w:t xml:space="preserve"> institucija na nivou RS 3 su dobile prep</w:t>
      </w:r>
      <w:r w:rsidR="0063038D">
        <w:rPr>
          <w:rFonts w:asciiTheme="majorHAnsi" w:hAnsiTheme="majorHAnsi"/>
          <w:sz w:val="22"/>
          <w:szCs w:val="22"/>
          <w:lang w:val="bs-Latn-BA"/>
        </w:rPr>
        <w:t>o</w:t>
      </w:r>
      <w:r w:rsidR="00880EE9" w:rsidRPr="0054107F">
        <w:rPr>
          <w:rFonts w:asciiTheme="majorHAnsi" w:hAnsiTheme="majorHAnsi"/>
          <w:sz w:val="22"/>
          <w:szCs w:val="22"/>
          <w:lang w:val="bs-Latn-BA"/>
        </w:rPr>
        <w:t>ruke koje se odnose na javne nabavke, i to sljedeće sadržine:</w:t>
      </w:r>
    </w:p>
    <w:p w14:paraId="624F5500" w14:textId="77777777" w:rsidR="0063038D" w:rsidRPr="0054107F" w:rsidRDefault="0063038D" w:rsidP="00754472">
      <w:pPr>
        <w:jc w:val="both"/>
        <w:rPr>
          <w:rFonts w:asciiTheme="majorHAnsi" w:hAnsiTheme="majorHAnsi"/>
          <w:sz w:val="22"/>
          <w:szCs w:val="22"/>
          <w:lang w:val="bs-Latn-BA"/>
        </w:rPr>
      </w:pPr>
    </w:p>
    <w:p w14:paraId="6BF1C351" w14:textId="4DF8A6BF" w:rsidR="00880EE9" w:rsidRPr="0054107F" w:rsidRDefault="0063038D" w:rsidP="00754472">
      <w:pPr>
        <w:pStyle w:val="ListParagraph"/>
        <w:numPr>
          <w:ilvl w:val="0"/>
          <w:numId w:val="3"/>
        </w:numPr>
        <w:jc w:val="both"/>
        <w:rPr>
          <w:rFonts w:asciiTheme="majorHAnsi" w:hAnsiTheme="majorHAnsi"/>
          <w:sz w:val="22"/>
          <w:szCs w:val="22"/>
          <w:lang w:val="bs-Latn-BA"/>
        </w:rPr>
      </w:pPr>
      <w:r>
        <w:rPr>
          <w:rFonts w:asciiTheme="majorHAnsi" w:hAnsiTheme="majorHAnsi"/>
          <w:sz w:val="22"/>
          <w:szCs w:val="22"/>
          <w:lang w:val="bs-Latn-BA"/>
        </w:rPr>
        <w:t>D</w:t>
      </w:r>
      <w:r w:rsidR="00880EE9" w:rsidRPr="0054107F">
        <w:rPr>
          <w:rFonts w:asciiTheme="majorHAnsi" w:hAnsiTheme="majorHAnsi"/>
          <w:sz w:val="22"/>
          <w:szCs w:val="22"/>
          <w:lang w:val="bs-Latn-BA"/>
        </w:rPr>
        <w:t xml:space="preserve">osljedno sprovoditi proceduru javnih nabavki koje su za odgovarajuće postupke nabavki propisane Zakonom o javnim nabavkama. </w:t>
      </w:r>
      <w:r w:rsidR="00880EE9" w:rsidRPr="0054107F">
        <w:rPr>
          <w:rFonts w:asciiTheme="majorHAnsi" w:hAnsiTheme="majorHAnsi"/>
          <w:sz w:val="22"/>
          <w:szCs w:val="22"/>
          <w:vertAlign w:val="superscript"/>
          <w:lang w:val="bs-Latn-BA"/>
        </w:rPr>
        <w:footnoteReference w:id="31"/>
      </w:r>
      <w:r w:rsidR="00880EE9" w:rsidRPr="0054107F">
        <w:rPr>
          <w:rFonts w:asciiTheme="majorHAnsi" w:hAnsiTheme="majorHAnsi"/>
          <w:sz w:val="22"/>
          <w:szCs w:val="22"/>
          <w:lang w:val="bs-Latn-BA"/>
        </w:rPr>
        <w:t xml:space="preserve"> </w:t>
      </w:r>
    </w:p>
    <w:p w14:paraId="34DEF53C" w14:textId="43FF0399" w:rsidR="00880EE9" w:rsidRPr="0054107F" w:rsidRDefault="0063038D" w:rsidP="00754472">
      <w:pPr>
        <w:pStyle w:val="ListParagraph"/>
        <w:numPr>
          <w:ilvl w:val="0"/>
          <w:numId w:val="3"/>
        </w:numPr>
        <w:jc w:val="both"/>
        <w:rPr>
          <w:rFonts w:asciiTheme="majorHAnsi" w:hAnsiTheme="majorHAnsi"/>
          <w:sz w:val="22"/>
          <w:szCs w:val="22"/>
          <w:lang w:val="bs-Latn-BA"/>
        </w:rPr>
      </w:pPr>
      <w:r>
        <w:rPr>
          <w:rFonts w:asciiTheme="majorHAnsi" w:hAnsiTheme="majorHAnsi"/>
          <w:sz w:val="22"/>
          <w:szCs w:val="22"/>
          <w:lang w:val="bs-Latn-BA"/>
        </w:rPr>
        <w:t>U</w:t>
      </w:r>
      <w:r w:rsidR="00880EE9" w:rsidRPr="0054107F">
        <w:rPr>
          <w:rFonts w:asciiTheme="majorHAnsi" w:hAnsiTheme="majorHAnsi"/>
          <w:sz w:val="22"/>
          <w:szCs w:val="22"/>
          <w:lang w:val="bs-Latn-BA"/>
        </w:rPr>
        <w:t xml:space="preserve"> postupcima javnih nabavki obezbj</w:t>
      </w:r>
      <w:r>
        <w:rPr>
          <w:rFonts w:asciiTheme="majorHAnsi" w:hAnsiTheme="majorHAnsi"/>
          <w:sz w:val="22"/>
          <w:szCs w:val="22"/>
          <w:lang w:val="bs-Latn-BA"/>
        </w:rPr>
        <w:t>editi najefikasniji način korišt</w:t>
      </w:r>
      <w:r w:rsidR="00880EE9" w:rsidRPr="0054107F">
        <w:rPr>
          <w:rFonts w:asciiTheme="majorHAnsi" w:hAnsiTheme="majorHAnsi"/>
          <w:sz w:val="22"/>
          <w:szCs w:val="22"/>
          <w:lang w:val="bs-Latn-BA"/>
        </w:rPr>
        <w:t xml:space="preserve">enja javnih sredstava i poštivanje odredbi zaključenih ugovora </w:t>
      </w:r>
      <w:r w:rsidR="00880EE9" w:rsidRPr="0054107F">
        <w:rPr>
          <w:rFonts w:asciiTheme="majorHAnsi" w:hAnsiTheme="majorHAnsi"/>
          <w:sz w:val="22"/>
          <w:szCs w:val="22"/>
          <w:vertAlign w:val="superscript"/>
          <w:lang w:val="bs-Latn-BA"/>
        </w:rPr>
        <w:footnoteReference w:id="32"/>
      </w:r>
    </w:p>
    <w:p w14:paraId="132C6933" w14:textId="77777777" w:rsidR="00A01886" w:rsidRPr="00A01886" w:rsidRDefault="00A01886" w:rsidP="00A01886">
      <w:pPr>
        <w:jc w:val="both"/>
        <w:rPr>
          <w:rFonts w:asciiTheme="majorHAnsi" w:eastAsia="Calibri" w:hAnsiTheme="majorHAnsi" w:cs="Times New Roman"/>
          <w:bCs/>
          <w:iCs/>
          <w:sz w:val="22"/>
          <w:szCs w:val="22"/>
          <w:lang w:val="bs-Latn-BA"/>
        </w:rPr>
      </w:pPr>
    </w:p>
    <w:p w14:paraId="29CC8240" w14:textId="4FA5E894" w:rsidR="00A01886" w:rsidRPr="00A01886" w:rsidRDefault="00A01886" w:rsidP="00A01886">
      <w:pPr>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Zaključak:</w:t>
      </w:r>
      <w:r w:rsidRPr="00A01886">
        <w:rPr>
          <w:rFonts w:asciiTheme="majorHAnsi" w:eastAsia="Calibri" w:hAnsiTheme="majorHAnsi" w:cs="Times New Roman"/>
          <w:bCs/>
          <w:i/>
          <w:iCs/>
          <w:sz w:val="22"/>
          <w:szCs w:val="22"/>
          <w:lang w:val="bs-Latn-BA"/>
        </w:rPr>
        <w:t xml:space="preserve"> Shodno provedenoj analizi da se zaključiti da se procedure koje su za odgovarajuće postupke nabavki propisane Zakonom o javnim nabavkama ne sprovode dosljedno, te da u postupcima javnih nabavki nije osiguran najefikasniji način korištenja javnih sredstava i poštivanja odredbi zaklj</w:t>
      </w:r>
      <w:r w:rsidR="0063038D">
        <w:rPr>
          <w:rFonts w:asciiTheme="majorHAnsi" w:eastAsia="Calibri" w:hAnsiTheme="majorHAnsi" w:cs="Times New Roman"/>
          <w:bCs/>
          <w:i/>
          <w:iCs/>
          <w:sz w:val="22"/>
          <w:szCs w:val="22"/>
          <w:lang w:val="bs-Latn-BA"/>
        </w:rPr>
        <w:t xml:space="preserve">učenih ugovora. Obzirom da su </w:t>
      </w:r>
      <w:r w:rsidRPr="00A01886">
        <w:rPr>
          <w:rFonts w:asciiTheme="majorHAnsi" w:eastAsia="Calibri" w:hAnsiTheme="majorHAnsi" w:cs="Times New Roman"/>
          <w:bCs/>
          <w:i/>
          <w:iCs/>
          <w:sz w:val="22"/>
          <w:szCs w:val="22"/>
          <w:lang w:val="bs-Latn-BA"/>
        </w:rPr>
        <w:t>nalazi</w:t>
      </w:r>
      <w:r w:rsidR="0063038D">
        <w:rPr>
          <w:rFonts w:asciiTheme="majorHAnsi" w:eastAsia="Calibri" w:hAnsiTheme="majorHAnsi" w:cs="Times New Roman"/>
          <w:bCs/>
          <w:i/>
          <w:iCs/>
          <w:sz w:val="22"/>
          <w:szCs w:val="22"/>
          <w:lang w:val="bs-Latn-BA"/>
        </w:rPr>
        <w:t xml:space="preserve"> i preporuke</w:t>
      </w:r>
      <w:r w:rsidRPr="00A01886">
        <w:rPr>
          <w:rFonts w:asciiTheme="majorHAnsi" w:eastAsia="Calibri" w:hAnsiTheme="majorHAnsi" w:cs="Times New Roman"/>
          <w:bCs/>
          <w:i/>
          <w:iCs/>
          <w:sz w:val="22"/>
          <w:szCs w:val="22"/>
          <w:lang w:val="bs-Latn-BA"/>
        </w:rPr>
        <w:t xml:space="preserve"> službi za reviziju javnog sektora na svim nivoima</w:t>
      </w:r>
      <w:r w:rsidR="0063038D">
        <w:rPr>
          <w:rFonts w:asciiTheme="majorHAnsi" w:eastAsia="Calibri" w:hAnsiTheme="majorHAnsi" w:cs="Times New Roman"/>
          <w:bCs/>
          <w:i/>
          <w:iCs/>
          <w:sz w:val="22"/>
          <w:szCs w:val="22"/>
          <w:lang w:val="bs-Latn-BA"/>
        </w:rPr>
        <w:t xml:space="preserve"> vlasti u BiH bazirani na višegodišnje</w:t>
      </w:r>
      <w:r w:rsidRPr="00A01886">
        <w:rPr>
          <w:rFonts w:asciiTheme="majorHAnsi" w:eastAsia="Calibri" w:hAnsiTheme="majorHAnsi" w:cs="Times New Roman"/>
          <w:bCs/>
          <w:i/>
          <w:iCs/>
          <w:sz w:val="22"/>
          <w:szCs w:val="22"/>
          <w:lang w:val="bs-Latn-BA"/>
        </w:rPr>
        <w:t xml:space="preserve"> nepostojanj</w:t>
      </w:r>
      <w:r w:rsidR="0063038D">
        <w:rPr>
          <w:rFonts w:asciiTheme="majorHAnsi" w:eastAsia="Calibri" w:hAnsiTheme="majorHAnsi" w:cs="Times New Roman"/>
          <w:bCs/>
          <w:i/>
          <w:iCs/>
          <w:sz w:val="22"/>
          <w:szCs w:val="22"/>
          <w:lang w:val="bs-Latn-BA"/>
        </w:rPr>
        <w:t>e i loše planiranje nabavki, diskreciju ugovornih organa i posljedično</w:t>
      </w:r>
      <w:r w:rsidRPr="00A01886">
        <w:rPr>
          <w:rFonts w:asciiTheme="majorHAnsi" w:eastAsia="Calibri" w:hAnsiTheme="majorHAnsi" w:cs="Times New Roman"/>
          <w:bCs/>
          <w:i/>
          <w:iCs/>
          <w:sz w:val="22"/>
          <w:szCs w:val="22"/>
          <w:lang w:val="bs-Latn-BA"/>
        </w:rPr>
        <w:t xml:space="preserve"> smanjenoj konkurenciji što je i jedan od ključnih izvora problema u oblasti javnih nabavki.</w:t>
      </w:r>
    </w:p>
    <w:p w14:paraId="25AD97FC" w14:textId="77777777" w:rsidR="00A01886" w:rsidRPr="00A01886" w:rsidRDefault="00A01886" w:rsidP="00A01886">
      <w:pPr>
        <w:jc w:val="both"/>
        <w:rPr>
          <w:rFonts w:asciiTheme="majorHAnsi" w:eastAsia="Calibri" w:hAnsiTheme="majorHAnsi" w:cs="Times New Roman"/>
          <w:bCs/>
          <w:i/>
          <w:iCs/>
          <w:sz w:val="22"/>
          <w:szCs w:val="22"/>
          <w:lang w:val="bs-Latn-BA"/>
        </w:rPr>
      </w:pPr>
    </w:p>
    <w:p w14:paraId="0FAC6402" w14:textId="4864341E" w:rsidR="00A01886" w:rsidRPr="00A01886" w:rsidRDefault="00A01886" w:rsidP="00A01886">
      <w:pPr>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Preporuka:</w:t>
      </w:r>
      <w:r w:rsidRPr="00A01886">
        <w:rPr>
          <w:rFonts w:asciiTheme="majorHAnsi" w:eastAsia="Calibri" w:hAnsiTheme="majorHAnsi" w:cs="Times New Roman"/>
          <w:bCs/>
          <w:i/>
          <w:iCs/>
          <w:sz w:val="22"/>
          <w:szCs w:val="22"/>
          <w:lang w:val="bs-Latn-BA"/>
        </w:rPr>
        <w:t xml:space="preserve"> Proces planiranja javnih nabavki bi trebalo uskladiti sa procesom budžetskog planiranja, obezbjeđivanjem javnih konsultacija u procesu planiranja nabavki, naročito kod projekata od šireg društvenog značaja i osiguranjem sinhronizovanog objavljivanja dokumenata o godišnjim planovima n</w:t>
      </w:r>
      <w:r w:rsidR="0063038D">
        <w:rPr>
          <w:rFonts w:asciiTheme="majorHAnsi" w:eastAsia="Calibri" w:hAnsiTheme="majorHAnsi" w:cs="Times New Roman"/>
          <w:bCs/>
          <w:i/>
          <w:iCs/>
          <w:sz w:val="22"/>
          <w:szCs w:val="22"/>
          <w:lang w:val="bs-Latn-BA"/>
        </w:rPr>
        <w:t>abavki i budžetskih dokumenata.</w:t>
      </w:r>
      <w:r w:rsidRPr="00A01886">
        <w:rPr>
          <w:rFonts w:asciiTheme="majorHAnsi" w:eastAsia="Calibri" w:hAnsiTheme="majorHAnsi" w:cs="Times New Roman"/>
          <w:bCs/>
          <w:i/>
          <w:iCs/>
          <w:sz w:val="22"/>
          <w:szCs w:val="22"/>
          <w:lang w:val="bs-Latn-BA"/>
        </w:rPr>
        <w:t xml:space="preserve"> Zatim, uvesti obavezu za ugovorne organe da objavljuju plan nabavki koji sadrži sve postupke nabavki osim direktnog sporazuma (čiju bi vrijednost trebalo zakonski vezati za visinu godišnjeg budžeta ugovornih organa) i na Portalu javnih nabavki, kako bi oni na jednostavan i brz način bili dostupni svim potencijalnim ponuđačima i drugim zainteresovanim stranam. Legislativom o javnim nabavkama</w:t>
      </w:r>
      <w:r w:rsidRPr="00A01886">
        <w:rPr>
          <w:rFonts w:asciiTheme="majorHAnsi" w:eastAsia="Calibri" w:hAnsiTheme="majorHAnsi" w:cs="Times New Roman"/>
          <w:bCs/>
          <w:iCs/>
          <w:sz w:val="22"/>
          <w:szCs w:val="22"/>
          <w:lang w:val="bs-Latn-BA"/>
        </w:rPr>
        <w:t xml:space="preserve"> </w:t>
      </w:r>
      <w:r w:rsidRPr="00A01886">
        <w:rPr>
          <w:rFonts w:asciiTheme="majorHAnsi" w:eastAsia="Calibri" w:hAnsiTheme="majorHAnsi" w:cs="Times New Roman"/>
          <w:bCs/>
          <w:i/>
          <w:iCs/>
          <w:sz w:val="22"/>
          <w:szCs w:val="22"/>
          <w:lang w:val="bs-Latn-BA"/>
        </w:rPr>
        <w:t>predvidjeti uvođenje obaveze ugovornim organima na sačinjavanje i objavljivanje i godišnjih izvještaja o izvršenju planova nabavki.</w:t>
      </w:r>
    </w:p>
    <w:p w14:paraId="54D506E3" w14:textId="77777777" w:rsidR="00A01886" w:rsidRPr="0054107F" w:rsidRDefault="00A01886" w:rsidP="00754472">
      <w:pPr>
        <w:jc w:val="both"/>
        <w:rPr>
          <w:rFonts w:asciiTheme="majorHAnsi" w:hAnsiTheme="majorHAnsi"/>
          <w:i/>
          <w:color w:val="000000" w:themeColor="text1"/>
          <w:sz w:val="22"/>
          <w:szCs w:val="22"/>
          <w:lang w:val="bs-Latn-BA"/>
        </w:rPr>
      </w:pPr>
    </w:p>
    <w:p w14:paraId="38C4C295" w14:textId="77777777" w:rsidR="00C36F17"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lastRenderedPageBreak/>
        <w:t>Plan integriteta</w:t>
      </w:r>
    </w:p>
    <w:p w14:paraId="6F69A9EA" w14:textId="77777777" w:rsidR="00C97E94" w:rsidRPr="0054107F" w:rsidRDefault="00C97E94" w:rsidP="00754472">
      <w:pPr>
        <w:jc w:val="both"/>
        <w:rPr>
          <w:rFonts w:asciiTheme="majorHAnsi" w:hAnsiTheme="majorHAnsi"/>
          <w:sz w:val="22"/>
          <w:szCs w:val="22"/>
        </w:rPr>
      </w:pPr>
    </w:p>
    <w:p w14:paraId="2242D5F4" w14:textId="25F89BA6" w:rsidR="004D22B2" w:rsidRPr="0054107F" w:rsidRDefault="0085015F" w:rsidP="00754472">
      <w:pPr>
        <w:jc w:val="both"/>
        <w:rPr>
          <w:rFonts w:asciiTheme="majorHAnsi" w:hAnsiTheme="majorHAnsi"/>
          <w:sz w:val="22"/>
          <w:szCs w:val="22"/>
        </w:rPr>
      </w:pPr>
      <w:r w:rsidRPr="0054107F">
        <w:rPr>
          <w:rFonts w:asciiTheme="majorHAnsi" w:hAnsiTheme="majorHAnsi"/>
          <w:color w:val="000000" w:themeColor="text1"/>
          <w:sz w:val="22"/>
          <w:szCs w:val="22"/>
        </w:rPr>
        <w:t>Od 12</w:t>
      </w:r>
      <w:r w:rsidR="009F1C56" w:rsidRPr="0054107F">
        <w:rPr>
          <w:rFonts w:asciiTheme="majorHAnsi" w:hAnsiTheme="majorHAnsi"/>
          <w:color w:val="000000" w:themeColor="text1"/>
          <w:sz w:val="22"/>
          <w:szCs w:val="22"/>
        </w:rPr>
        <w:t xml:space="preserve"> institucija obuhvaćenih monitoringom </w:t>
      </w:r>
      <w:proofErr w:type="gramStart"/>
      <w:r w:rsidR="005B7CC9" w:rsidRPr="0054107F">
        <w:rPr>
          <w:rFonts w:asciiTheme="majorHAnsi" w:hAnsiTheme="majorHAnsi"/>
          <w:color w:val="000000" w:themeColor="text1"/>
          <w:sz w:val="22"/>
          <w:szCs w:val="22"/>
        </w:rPr>
        <w:t>na</w:t>
      </w:r>
      <w:proofErr w:type="gramEnd"/>
      <w:r w:rsidR="005B7CC9" w:rsidRPr="0054107F">
        <w:rPr>
          <w:rFonts w:asciiTheme="majorHAnsi" w:hAnsiTheme="majorHAnsi"/>
          <w:color w:val="000000" w:themeColor="text1"/>
          <w:sz w:val="22"/>
          <w:szCs w:val="22"/>
        </w:rPr>
        <w:t xml:space="preserve"> nivou BiH </w:t>
      </w:r>
      <w:r w:rsidR="009F1C56" w:rsidRPr="0054107F">
        <w:rPr>
          <w:rFonts w:asciiTheme="majorHAnsi" w:hAnsiTheme="majorHAnsi"/>
          <w:color w:val="000000" w:themeColor="text1"/>
          <w:sz w:val="22"/>
          <w:szCs w:val="22"/>
        </w:rPr>
        <w:t>samo u 1, nije usvojen plan integriteta.</w:t>
      </w:r>
      <w:r w:rsidR="004D22B2" w:rsidRPr="0054107F">
        <w:rPr>
          <w:rFonts w:asciiTheme="majorHAnsi" w:hAnsiTheme="majorHAnsi"/>
          <w:color w:val="000000" w:themeColor="text1"/>
          <w:sz w:val="22"/>
          <w:szCs w:val="22"/>
        </w:rPr>
        <w:t xml:space="preserve">  </w:t>
      </w:r>
      <w:r w:rsidR="00C97E94" w:rsidRPr="0054107F">
        <w:rPr>
          <w:rFonts w:asciiTheme="majorHAnsi" w:hAnsiTheme="majorHAnsi"/>
          <w:color w:val="000000" w:themeColor="text1"/>
          <w:sz w:val="22"/>
          <w:szCs w:val="22"/>
        </w:rPr>
        <w:t xml:space="preserve">Od </w:t>
      </w:r>
      <w:r w:rsidR="00B3563F">
        <w:rPr>
          <w:rFonts w:asciiTheme="majorHAnsi" w:hAnsiTheme="majorHAnsi"/>
          <w:color w:val="000000" w:themeColor="text1"/>
          <w:sz w:val="22"/>
          <w:szCs w:val="22"/>
        </w:rPr>
        <w:t xml:space="preserve">9 monitorisanih institucija </w:t>
      </w:r>
      <w:r w:rsidR="00B3563F" w:rsidRPr="0054107F">
        <w:rPr>
          <w:rFonts w:asciiTheme="majorHAnsi" w:hAnsiTheme="majorHAnsi"/>
          <w:color w:val="000000" w:themeColor="text1"/>
          <w:sz w:val="22"/>
          <w:szCs w:val="22"/>
        </w:rPr>
        <w:t xml:space="preserve">u FBiH </w:t>
      </w:r>
      <w:r w:rsidR="00B3563F" w:rsidRPr="0054107F">
        <w:rPr>
          <w:rFonts w:asciiTheme="majorHAnsi" w:hAnsiTheme="majorHAnsi"/>
          <w:sz w:val="22"/>
          <w:szCs w:val="22"/>
        </w:rPr>
        <w:t xml:space="preserve">4 institucije </w:t>
      </w:r>
      <w:r w:rsidR="00B3563F">
        <w:rPr>
          <w:rFonts w:asciiTheme="majorHAnsi" w:hAnsiTheme="majorHAnsi"/>
          <w:sz w:val="22"/>
          <w:szCs w:val="22"/>
        </w:rPr>
        <w:t>nemaju usvojen plan integriteta, dok je od</w:t>
      </w:r>
      <w:r w:rsidR="00B3563F" w:rsidRPr="0054107F">
        <w:rPr>
          <w:rFonts w:asciiTheme="majorHAnsi" w:hAnsiTheme="majorHAnsi"/>
          <w:sz w:val="22"/>
          <w:szCs w:val="22"/>
        </w:rPr>
        <w:t xml:space="preserve"> </w:t>
      </w:r>
      <w:r w:rsidR="00A01886" w:rsidRPr="0054107F">
        <w:rPr>
          <w:rFonts w:asciiTheme="majorHAnsi" w:hAnsiTheme="majorHAnsi"/>
          <w:color w:val="000000" w:themeColor="text1"/>
          <w:sz w:val="22"/>
          <w:szCs w:val="22"/>
        </w:rPr>
        <w:t>12</w:t>
      </w:r>
      <w:r w:rsidR="00C97E94" w:rsidRPr="0054107F">
        <w:rPr>
          <w:rFonts w:asciiTheme="majorHAnsi" w:hAnsiTheme="majorHAnsi"/>
          <w:color w:val="000000" w:themeColor="text1"/>
          <w:sz w:val="22"/>
          <w:szCs w:val="22"/>
        </w:rPr>
        <w:t xml:space="preserve"> institucija</w:t>
      </w:r>
      <w:r w:rsidR="001813B7">
        <w:rPr>
          <w:rFonts w:asciiTheme="majorHAnsi" w:hAnsiTheme="majorHAnsi"/>
          <w:color w:val="000000" w:themeColor="text1"/>
          <w:sz w:val="22"/>
          <w:szCs w:val="22"/>
        </w:rPr>
        <w:t xml:space="preserve"> koje su bile predmetom i</w:t>
      </w:r>
      <w:r w:rsidR="00B3563F">
        <w:rPr>
          <w:rFonts w:asciiTheme="majorHAnsi" w:hAnsiTheme="majorHAnsi"/>
          <w:color w:val="000000" w:themeColor="text1"/>
          <w:sz w:val="22"/>
          <w:szCs w:val="22"/>
        </w:rPr>
        <w:t>straživanja</w:t>
      </w:r>
      <w:r w:rsidR="00C97E94" w:rsidRPr="0054107F">
        <w:rPr>
          <w:rFonts w:asciiTheme="majorHAnsi" w:hAnsiTheme="majorHAnsi"/>
          <w:color w:val="000000" w:themeColor="text1"/>
          <w:sz w:val="22"/>
          <w:szCs w:val="22"/>
        </w:rPr>
        <w:t xml:space="preserve"> na</w:t>
      </w:r>
      <w:r w:rsidR="00A01886" w:rsidRPr="0054107F">
        <w:rPr>
          <w:rFonts w:asciiTheme="majorHAnsi" w:hAnsiTheme="majorHAnsi"/>
          <w:color w:val="000000" w:themeColor="text1"/>
          <w:sz w:val="22"/>
          <w:szCs w:val="22"/>
        </w:rPr>
        <w:t xml:space="preserve"> nivou RS samo</w:t>
      </w:r>
      <w:r w:rsidR="00B3563F">
        <w:rPr>
          <w:rFonts w:asciiTheme="majorHAnsi" w:hAnsiTheme="majorHAnsi"/>
          <w:color w:val="000000" w:themeColor="text1"/>
          <w:sz w:val="22"/>
          <w:szCs w:val="22"/>
        </w:rPr>
        <w:t xml:space="preserve"> </w:t>
      </w:r>
      <w:r w:rsidR="00C97E94" w:rsidRPr="0054107F">
        <w:rPr>
          <w:rFonts w:asciiTheme="majorHAnsi" w:hAnsiTheme="majorHAnsi"/>
          <w:color w:val="000000" w:themeColor="text1"/>
          <w:sz w:val="22"/>
          <w:szCs w:val="22"/>
        </w:rPr>
        <w:t>u jednoj</w:t>
      </w:r>
      <w:r w:rsidR="00A01886" w:rsidRPr="0054107F">
        <w:rPr>
          <w:rFonts w:asciiTheme="majorHAnsi" w:hAnsiTheme="majorHAnsi"/>
          <w:color w:val="000000" w:themeColor="text1"/>
          <w:sz w:val="22"/>
          <w:szCs w:val="22"/>
        </w:rPr>
        <w:t xml:space="preserve"> </w:t>
      </w:r>
      <w:r w:rsidR="004D22B2" w:rsidRPr="0054107F">
        <w:rPr>
          <w:rFonts w:asciiTheme="majorHAnsi" w:hAnsiTheme="majorHAnsi"/>
          <w:color w:val="000000" w:themeColor="text1"/>
          <w:sz w:val="22"/>
          <w:szCs w:val="22"/>
        </w:rPr>
        <w:t>usvojen Plan integriteta</w:t>
      </w:r>
      <w:r w:rsidR="00B3563F">
        <w:rPr>
          <w:rFonts w:asciiTheme="majorHAnsi" w:hAnsiTheme="majorHAnsi"/>
          <w:color w:val="000000" w:themeColor="text1"/>
          <w:sz w:val="22"/>
          <w:szCs w:val="22"/>
        </w:rPr>
        <w:t>.</w:t>
      </w:r>
      <w:r w:rsidR="004D22B2" w:rsidRPr="0054107F">
        <w:rPr>
          <w:rFonts w:asciiTheme="majorHAnsi" w:hAnsiTheme="majorHAnsi"/>
          <w:color w:val="000000" w:themeColor="text1"/>
          <w:sz w:val="22"/>
          <w:szCs w:val="22"/>
        </w:rPr>
        <w:t xml:space="preserve"> </w:t>
      </w:r>
    </w:p>
    <w:p w14:paraId="76C8EA8C" w14:textId="77777777" w:rsidR="004D22B2" w:rsidRPr="0054107F" w:rsidRDefault="004D22B2" w:rsidP="00754472">
      <w:pPr>
        <w:jc w:val="both"/>
        <w:rPr>
          <w:rFonts w:asciiTheme="majorHAnsi" w:hAnsiTheme="majorHAnsi"/>
          <w:sz w:val="22"/>
          <w:szCs w:val="22"/>
        </w:rPr>
      </w:pPr>
    </w:p>
    <w:p w14:paraId="2DFA47C0" w14:textId="4D77F1C4" w:rsidR="00C97E94" w:rsidRPr="0054107F" w:rsidRDefault="0007795B" w:rsidP="00754472">
      <w:pPr>
        <w:jc w:val="both"/>
        <w:rPr>
          <w:rFonts w:asciiTheme="majorHAnsi" w:hAnsiTheme="majorHAnsi"/>
          <w:sz w:val="22"/>
          <w:szCs w:val="22"/>
        </w:rPr>
      </w:pPr>
      <w:r w:rsidRPr="0054107F">
        <w:rPr>
          <w:rFonts w:asciiTheme="majorHAnsi" w:hAnsiTheme="majorHAnsi"/>
          <w:sz w:val="22"/>
          <w:szCs w:val="22"/>
        </w:rPr>
        <w:t>Prikupljeni podaci ukazuju da na državnom nivou 9</w:t>
      </w:r>
      <w:r w:rsidR="001813B7">
        <w:rPr>
          <w:rFonts w:asciiTheme="majorHAnsi" w:hAnsiTheme="majorHAnsi"/>
          <w:sz w:val="22"/>
          <w:szCs w:val="22"/>
        </w:rPr>
        <w:t>2</w:t>
      </w:r>
      <w:r w:rsidRPr="0054107F">
        <w:rPr>
          <w:rFonts w:asciiTheme="majorHAnsi" w:hAnsiTheme="majorHAnsi"/>
          <w:sz w:val="22"/>
          <w:szCs w:val="22"/>
        </w:rPr>
        <w:t>%, na feder</w:t>
      </w:r>
      <w:r w:rsidR="00A01886" w:rsidRPr="0054107F">
        <w:rPr>
          <w:rFonts w:asciiTheme="majorHAnsi" w:hAnsiTheme="majorHAnsi"/>
          <w:sz w:val="22"/>
          <w:szCs w:val="22"/>
        </w:rPr>
        <w:t>alnom ni</w:t>
      </w:r>
      <w:r w:rsidR="00B3563F">
        <w:rPr>
          <w:rFonts w:asciiTheme="majorHAnsi" w:hAnsiTheme="majorHAnsi"/>
          <w:sz w:val="22"/>
          <w:szCs w:val="22"/>
        </w:rPr>
        <w:t>vou 44%, a na nivou RS</w:t>
      </w:r>
      <w:r w:rsidRPr="0054107F">
        <w:rPr>
          <w:rFonts w:asciiTheme="majorHAnsi" w:hAnsiTheme="majorHAnsi"/>
          <w:sz w:val="22"/>
          <w:szCs w:val="22"/>
        </w:rPr>
        <w:t xml:space="preserve"> </w:t>
      </w:r>
      <w:r w:rsidR="00B3563F">
        <w:rPr>
          <w:rFonts w:asciiTheme="majorHAnsi" w:hAnsiTheme="majorHAnsi"/>
          <w:sz w:val="22"/>
          <w:szCs w:val="22"/>
        </w:rPr>
        <w:t>samo 8%</w:t>
      </w:r>
      <w:r w:rsidR="00A01886" w:rsidRPr="0054107F">
        <w:rPr>
          <w:rFonts w:asciiTheme="majorHAnsi" w:hAnsiTheme="majorHAnsi"/>
          <w:sz w:val="22"/>
          <w:szCs w:val="22"/>
        </w:rPr>
        <w:t xml:space="preserve"> </w:t>
      </w:r>
      <w:r w:rsidRPr="0054107F">
        <w:rPr>
          <w:rFonts w:asciiTheme="majorHAnsi" w:hAnsiTheme="majorHAnsi"/>
          <w:sz w:val="22"/>
          <w:szCs w:val="22"/>
        </w:rPr>
        <w:t>institu</w:t>
      </w:r>
      <w:r w:rsidR="00A01886" w:rsidRPr="0054107F">
        <w:rPr>
          <w:rFonts w:asciiTheme="majorHAnsi" w:hAnsiTheme="majorHAnsi"/>
          <w:sz w:val="22"/>
          <w:szCs w:val="22"/>
        </w:rPr>
        <w:t xml:space="preserve">cija ima </w:t>
      </w:r>
      <w:r w:rsidRPr="0054107F">
        <w:rPr>
          <w:rFonts w:asciiTheme="majorHAnsi" w:hAnsiTheme="majorHAnsi"/>
          <w:sz w:val="22"/>
          <w:szCs w:val="22"/>
        </w:rPr>
        <w:t xml:space="preserve">uvojen plan integriteta. </w:t>
      </w:r>
    </w:p>
    <w:p w14:paraId="0DC50257" w14:textId="77777777" w:rsidR="00A01886" w:rsidRPr="00A01886" w:rsidRDefault="00A01886" w:rsidP="00A01886">
      <w:pPr>
        <w:jc w:val="both"/>
        <w:rPr>
          <w:rFonts w:asciiTheme="majorHAnsi" w:eastAsia="Calibri" w:hAnsiTheme="majorHAnsi" w:cs="Times New Roman"/>
          <w:bCs/>
          <w:iCs/>
          <w:sz w:val="22"/>
          <w:szCs w:val="22"/>
          <w:u w:val="single"/>
          <w:lang w:val="bs-Latn-BA"/>
        </w:rPr>
      </w:pPr>
    </w:p>
    <w:p w14:paraId="59F78370" w14:textId="77777777" w:rsidR="00A01886" w:rsidRPr="00A01886" w:rsidRDefault="00A01886" w:rsidP="00A01886">
      <w:pPr>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 xml:space="preserve">Zaključak: </w:t>
      </w:r>
      <w:r w:rsidRPr="00A01886">
        <w:rPr>
          <w:rFonts w:asciiTheme="majorHAnsi" w:eastAsia="Calibri" w:hAnsiTheme="majorHAnsi" w:cs="Times New Roman"/>
          <w:bCs/>
          <w:i/>
          <w:iCs/>
          <w:sz w:val="22"/>
          <w:szCs w:val="22"/>
          <w:lang w:val="bs-Latn-BA"/>
        </w:rPr>
        <w:t xml:space="preserve">Na osnovu prikupljenih i obrađenih informacija uočljivo je da institucije na entitetskom nivou posebno u RS, znatno zaostaju u provođenju izrade planova integriteta kao efikasnog sistema zaštite od mogućih rizika. </w:t>
      </w:r>
    </w:p>
    <w:p w14:paraId="077A437A" w14:textId="77777777" w:rsidR="00A01886" w:rsidRPr="00A01886" w:rsidRDefault="00A01886" w:rsidP="00A01886">
      <w:pPr>
        <w:jc w:val="both"/>
        <w:rPr>
          <w:rFonts w:asciiTheme="majorHAnsi" w:eastAsia="Calibri" w:hAnsiTheme="majorHAnsi" w:cs="Times New Roman"/>
          <w:b/>
          <w:bCs/>
          <w:iCs/>
          <w:sz w:val="22"/>
          <w:szCs w:val="22"/>
          <w:u w:val="single"/>
          <w:lang w:val="bs-Latn-BA"/>
        </w:rPr>
      </w:pPr>
    </w:p>
    <w:p w14:paraId="787B5890" w14:textId="77777777" w:rsidR="00A01886" w:rsidRPr="00A01886" w:rsidRDefault="00A01886" w:rsidP="00A01886">
      <w:pPr>
        <w:jc w:val="both"/>
        <w:rPr>
          <w:rFonts w:asciiTheme="majorHAnsi" w:eastAsia="Calibri" w:hAnsiTheme="majorHAnsi" w:cs="Times New Roman"/>
          <w:bCs/>
          <w:i/>
          <w:iCs/>
          <w:sz w:val="22"/>
          <w:szCs w:val="22"/>
          <w:lang w:val="bs-Latn-BA"/>
        </w:rPr>
      </w:pPr>
      <w:r w:rsidRPr="00A01886">
        <w:rPr>
          <w:rFonts w:asciiTheme="majorHAnsi" w:eastAsia="Calibri" w:hAnsiTheme="majorHAnsi" w:cs="Times New Roman"/>
          <w:b/>
          <w:bCs/>
          <w:iCs/>
          <w:sz w:val="22"/>
          <w:szCs w:val="22"/>
          <w:lang w:val="bs-Latn-BA"/>
        </w:rPr>
        <w:t>Preporuka</w:t>
      </w:r>
      <w:r w:rsidRPr="00A01886">
        <w:rPr>
          <w:rFonts w:asciiTheme="majorHAnsi" w:eastAsia="Calibri" w:hAnsiTheme="majorHAnsi" w:cs="Times New Roman"/>
          <w:b/>
          <w:bCs/>
          <w:i/>
          <w:iCs/>
          <w:sz w:val="22"/>
          <w:szCs w:val="22"/>
          <w:lang w:val="bs-Latn-BA"/>
        </w:rPr>
        <w:t>:</w:t>
      </w:r>
      <w:r w:rsidRPr="00A01886">
        <w:rPr>
          <w:rFonts w:asciiTheme="majorHAnsi" w:eastAsia="Calibri" w:hAnsiTheme="majorHAnsi" w:cs="Times New Roman"/>
          <w:bCs/>
          <w:i/>
          <w:iCs/>
          <w:sz w:val="22"/>
          <w:szCs w:val="22"/>
          <w:lang w:val="bs-Latn-BA"/>
        </w:rPr>
        <w:t xml:space="preserve"> Sve institucije trebaju donijeti Planove integriteta u skladu sa obavezama iz Strategije za borbu protiv korupcije 2015-2019. Za sve institucije koje su izradile planove integriteta potrebno je ustaliti praksu monitoringa (praćenja) implementacije planova integriteta.</w:t>
      </w:r>
    </w:p>
    <w:p w14:paraId="2F0183D3" w14:textId="682B04B3" w:rsidR="00A01886" w:rsidRPr="00A01886" w:rsidRDefault="00A01886" w:rsidP="00A01886">
      <w:pPr>
        <w:jc w:val="both"/>
        <w:rPr>
          <w:rFonts w:asciiTheme="majorHAnsi" w:eastAsia="Calibri" w:hAnsiTheme="majorHAnsi" w:cs="Times New Roman"/>
          <w:bCs/>
          <w:iCs/>
          <w:sz w:val="22"/>
          <w:szCs w:val="22"/>
          <w:u w:val="single"/>
          <w:lang w:val="bs-Latn-BA"/>
        </w:rPr>
      </w:pPr>
    </w:p>
    <w:p w14:paraId="54D3C316" w14:textId="77777777" w:rsidR="00754472" w:rsidRPr="0054107F" w:rsidRDefault="00754472" w:rsidP="00754472">
      <w:pPr>
        <w:jc w:val="both"/>
        <w:rPr>
          <w:rFonts w:asciiTheme="majorHAnsi" w:hAnsiTheme="majorHAnsi"/>
          <w:i/>
          <w:sz w:val="22"/>
          <w:szCs w:val="22"/>
        </w:rPr>
      </w:pPr>
    </w:p>
    <w:p w14:paraId="685884B3" w14:textId="77777777" w:rsidR="00C36F17" w:rsidRPr="0054107F" w:rsidRDefault="00C36F17" w:rsidP="00754472">
      <w:pPr>
        <w:pStyle w:val="ListParagraph"/>
        <w:numPr>
          <w:ilvl w:val="0"/>
          <w:numId w:val="1"/>
        </w:numPr>
        <w:jc w:val="both"/>
        <w:rPr>
          <w:rFonts w:asciiTheme="majorHAnsi" w:hAnsiTheme="majorHAnsi"/>
          <w:b/>
        </w:rPr>
      </w:pPr>
      <w:r w:rsidRPr="0054107F">
        <w:rPr>
          <w:rFonts w:asciiTheme="majorHAnsi" w:hAnsiTheme="majorHAnsi"/>
          <w:b/>
        </w:rPr>
        <w:t>Godišnji izvještaji o radu</w:t>
      </w:r>
    </w:p>
    <w:p w14:paraId="26E7BC24" w14:textId="77777777" w:rsidR="002A7FA2" w:rsidRPr="0054107F" w:rsidRDefault="002A7FA2" w:rsidP="00754472">
      <w:pPr>
        <w:jc w:val="both"/>
        <w:rPr>
          <w:rFonts w:asciiTheme="majorHAnsi" w:hAnsiTheme="majorHAnsi"/>
          <w:sz w:val="22"/>
          <w:szCs w:val="22"/>
        </w:rPr>
      </w:pPr>
    </w:p>
    <w:p w14:paraId="1845BADF" w14:textId="6FC2FA28" w:rsidR="00EF56F6" w:rsidRPr="0054107F" w:rsidRDefault="0085015F" w:rsidP="00754472">
      <w:pPr>
        <w:jc w:val="both"/>
        <w:rPr>
          <w:rFonts w:asciiTheme="majorHAnsi" w:hAnsiTheme="majorHAnsi"/>
          <w:sz w:val="22"/>
          <w:szCs w:val="22"/>
        </w:rPr>
      </w:pPr>
      <w:r w:rsidRPr="0054107F">
        <w:rPr>
          <w:rFonts w:asciiTheme="majorHAnsi" w:hAnsiTheme="majorHAnsi"/>
          <w:sz w:val="22"/>
          <w:szCs w:val="22"/>
        </w:rPr>
        <w:t xml:space="preserve">Na državnom nivou u 4 </w:t>
      </w:r>
      <w:proofErr w:type="gramStart"/>
      <w:r w:rsidRPr="0054107F">
        <w:rPr>
          <w:rFonts w:asciiTheme="majorHAnsi" w:hAnsiTheme="majorHAnsi"/>
          <w:sz w:val="22"/>
          <w:szCs w:val="22"/>
        </w:rPr>
        <w:t>od</w:t>
      </w:r>
      <w:proofErr w:type="gramEnd"/>
      <w:r w:rsidRPr="0054107F">
        <w:rPr>
          <w:rFonts w:asciiTheme="majorHAnsi" w:hAnsiTheme="majorHAnsi"/>
          <w:sz w:val="22"/>
          <w:szCs w:val="22"/>
        </w:rPr>
        <w:t xml:space="preserve"> 12</w:t>
      </w:r>
      <w:r w:rsidR="00EC4404" w:rsidRPr="0054107F">
        <w:rPr>
          <w:rFonts w:asciiTheme="majorHAnsi" w:hAnsiTheme="majorHAnsi"/>
          <w:sz w:val="22"/>
          <w:szCs w:val="22"/>
        </w:rPr>
        <w:t xml:space="preserve"> institucija koje su obuhvaćene uzorkom ne postoji praksa objavljivanja godišnjih izvješta o radu. </w:t>
      </w:r>
      <w:r w:rsidR="008B1FE4">
        <w:rPr>
          <w:rFonts w:asciiTheme="majorHAnsi" w:hAnsiTheme="majorHAnsi"/>
          <w:sz w:val="22"/>
          <w:szCs w:val="22"/>
        </w:rPr>
        <w:t>U F</w:t>
      </w:r>
      <w:r w:rsidR="002A7FA2" w:rsidRPr="0054107F">
        <w:rPr>
          <w:rFonts w:asciiTheme="majorHAnsi" w:hAnsiTheme="majorHAnsi"/>
          <w:sz w:val="22"/>
          <w:szCs w:val="22"/>
        </w:rPr>
        <w:t xml:space="preserve">BiH 5 institucija </w:t>
      </w:r>
      <w:proofErr w:type="gramStart"/>
      <w:r w:rsidR="002A7FA2" w:rsidRPr="0054107F">
        <w:rPr>
          <w:rFonts w:asciiTheme="majorHAnsi" w:hAnsiTheme="majorHAnsi"/>
          <w:sz w:val="22"/>
          <w:szCs w:val="22"/>
        </w:rPr>
        <w:t>od</w:t>
      </w:r>
      <w:proofErr w:type="gramEnd"/>
      <w:r w:rsidR="002A7FA2" w:rsidRPr="0054107F">
        <w:rPr>
          <w:rFonts w:asciiTheme="majorHAnsi" w:hAnsiTheme="majorHAnsi"/>
          <w:sz w:val="22"/>
          <w:szCs w:val="22"/>
        </w:rPr>
        <w:t xml:space="preserve"> 9 ne objavljuju Godišnje izvješt</w:t>
      </w:r>
      <w:r w:rsidR="008B1FE4">
        <w:rPr>
          <w:rFonts w:asciiTheme="majorHAnsi" w:hAnsiTheme="majorHAnsi"/>
          <w:sz w:val="22"/>
          <w:szCs w:val="22"/>
        </w:rPr>
        <w:t>aje o radu na svojim stranicama</w:t>
      </w:r>
      <w:r w:rsidR="00880EE9" w:rsidRPr="0054107F">
        <w:rPr>
          <w:rFonts w:asciiTheme="majorHAnsi" w:hAnsiTheme="majorHAnsi"/>
          <w:sz w:val="22"/>
          <w:szCs w:val="22"/>
        </w:rPr>
        <w:t>, a u Republici Srpskoj su samo 4 od 11 institucija objavile Godišnje izvještaje o radu na svojim stranicama.</w:t>
      </w:r>
    </w:p>
    <w:p w14:paraId="449E88A4" w14:textId="77777777" w:rsidR="00EC4404" w:rsidRPr="0054107F" w:rsidRDefault="00EC4404" w:rsidP="00754472">
      <w:pPr>
        <w:jc w:val="both"/>
        <w:rPr>
          <w:rFonts w:asciiTheme="majorHAnsi" w:hAnsiTheme="majorHAnsi"/>
          <w:i/>
          <w:sz w:val="22"/>
          <w:szCs w:val="22"/>
        </w:rPr>
      </w:pPr>
    </w:p>
    <w:p w14:paraId="10ECD499" w14:textId="312455D5" w:rsidR="00EC4404" w:rsidRPr="0054107F" w:rsidRDefault="00EC4404" w:rsidP="00754472">
      <w:pPr>
        <w:jc w:val="both"/>
        <w:rPr>
          <w:rFonts w:asciiTheme="majorHAnsi" w:hAnsiTheme="majorHAnsi"/>
          <w:i/>
          <w:sz w:val="22"/>
          <w:szCs w:val="22"/>
        </w:rPr>
      </w:pPr>
      <w:r w:rsidRPr="0054107F">
        <w:rPr>
          <w:rFonts w:asciiTheme="majorHAnsi" w:hAnsiTheme="majorHAnsi"/>
          <w:b/>
          <w:sz w:val="22"/>
          <w:szCs w:val="22"/>
        </w:rPr>
        <w:t>Zaključak:</w:t>
      </w:r>
      <w:r w:rsidRPr="0054107F">
        <w:rPr>
          <w:rFonts w:asciiTheme="majorHAnsi" w:hAnsiTheme="majorHAnsi"/>
          <w:b/>
          <w:i/>
          <w:sz w:val="22"/>
          <w:szCs w:val="22"/>
        </w:rPr>
        <w:t xml:space="preserve"> </w:t>
      </w:r>
      <w:r w:rsidRPr="0054107F">
        <w:rPr>
          <w:rFonts w:asciiTheme="majorHAnsi" w:hAnsiTheme="majorHAnsi"/>
          <w:i/>
          <w:sz w:val="22"/>
          <w:szCs w:val="22"/>
        </w:rPr>
        <w:t>I dalje u značajnom broju</w:t>
      </w:r>
      <w:r w:rsidRPr="0054107F">
        <w:rPr>
          <w:rFonts w:asciiTheme="majorHAnsi" w:hAnsiTheme="majorHAnsi"/>
          <w:b/>
          <w:i/>
          <w:sz w:val="22"/>
          <w:szCs w:val="22"/>
        </w:rPr>
        <w:t xml:space="preserve"> </w:t>
      </w:r>
      <w:r w:rsidRPr="0054107F">
        <w:rPr>
          <w:rFonts w:asciiTheme="majorHAnsi" w:hAnsiTheme="majorHAnsi"/>
          <w:i/>
          <w:sz w:val="22"/>
          <w:szCs w:val="22"/>
        </w:rPr>
        <w:t>instituci</w:t>
      </w:r>
      <w:r w:rsidR="008B1FE4">
        <w:rPr>
          <w:rFonts w:asciiTheme="majorHAnsi" w:hAnsiTheme="majorHAnsi"/>
          <w:i/>
          <w:sz w:val="22"/>
          <w:szCs w:val="22"/>
        </w:rPr>
        <w:t xml:space="preserve">ja </w:t>
      </w:r>
      <w:proofErr w:type="gramStart"/>
      <w:r w:rsidR="008B1FE4">
        <w:rPr>
          <w:rFonts w:asciiTheme="majorHAnsi" w:hAnsiTheme="majorHAnsi"/>
          <w:i/>
          <w:sz w:val="22"/>
          <w:szCs w:val="22"/>
        </w:rPr>
        <w:t>na</w:t>
      </w:r>
      <w:proofErr w:type="gramEnd"/>
      <w:r w:rsidR="008B1FE4">
        <w:rPr>
          <w:rFonts w:asciiTheme="majorHAnsi" w:hAnsiTheme="majorHAnsi"/>
          <w:i/>
          <w:sz w:val="22"/>
          <w:szCs w:val="22"/>
        </w:rPr>
        <w:t xml:space="preserve"> svim nivoima ne postoji</w:t>
      </w:r>
      <w:r w:rsidRPr="0054107F">
        <w:rPr>
          <w:rFonts w:asciiTheme="majorHAnsi" w:hAnsiTheme="majorHAnsi"/>
          <w:i/>
          <w:sz w:val="22"/>
          <w:szCs w:val="22"/>
        </w:rPr>
        <w:t xml:space="preserve"> praksa komunuciranja godišnjih izvještaja prema javnosti. Institucije kao izgovor za takvu praksu navode da ne postoji eksplicitno propisana zakonska obaveza objavljivanja takvih vrsta dokumenata, što je samo dijelom tačno.</w:t>
      </w:r>
    </w:p>
    <w:p w14:paraId="1B0D8E00" w14:textId="77777777" w:rsidR="00EC4404" w:rsidRPr="0054107F" w:rsidRDefault="00EC4404" w:rsidP="00754472">
      <w:pPr>
        <w:jc w:val="both"/>
        <w:rPr>
          <w:rFonts w:asciiTheme="majorHAnsi" w:hAnsiTheme="majorHAnsi"/>
          <w:i/>
          <w:sz w:val="22"/>
          <w:szCs w:val="22"/>
        </w:rPr>
      </w:pPr>
    </w:p>
    <w:p w14:paraId="024464F2" w14:textId="2A1322C9" w:rsidR="00EC4404" w:rsidRPr="0054107F" w:rsidRDefault="00EC4404" w:rsidP="00754472">
      <w:pPr>
        <w:jc w:val="both"/>
        <w:rPr>
          <w:rFonts w:asciiTheme="majorHAnsi" w:hAnsiTheme="majorHAnsi"/>
          <w:i/>
          <w:sz w:val="22"/>
          <w:szCs w:val="22"/>
        </w:rPr>
      </w:pPr>
      <w:r w:rsidRPr="0054107F">
        <w:rPr>
          <w:rFonts w:asciiTheme="majorHAnsi" w:hAnsiTheme="majorHAnsi"/>
          <w:b/>
          <w:sz w:val="22"/>
          <w:szCs w:val="22"/>
        </w:rPr>
        <w:t>Preporuka:</w:t>
      </w:r>
      <w:r w:rsidRPr="0054107F">
        <w:rPr>
          <w:rFonts w:asciiTheme="majorHAnsi" w:hAnsiTheme="majorHAnsi"/>
          <w:b/>
          <w:i/>
          <w:sz w:val="22"/>
          <w:szCs w:val="22"/>
        </w:rPr>
        <w:t xml:space="preserve"> </w:t>
      </w:r>
      <w:r w:rsidR="0016219C" w:rsidRPr="0054107F">
        <w:rPr>
          <w:rFonts w:asciiTheme="majorHAnsi" w:hAnsiTheme="majorHAnsi"/>
          <w:i/>
          <w:sz w:val="22"/>
          <w:szCs w:val="22"/>
        </w:rPr>
        <w:t>Eksplicitno propisati</w:t>
      </w:r>
      <w:r w:rsidR="0016219C" w:rsidRPr="0054107F">
        <w:rPr>
          <w:rFonts w:asciiTheme="majorHAnsi" w:hAnsiTheme="majorHAnsi"/>
          <w:b/>
          <w:i/>
          <w:sz w:val="22"/>
          <w:szCs w:val="22"/>
        </w:rPr>
        <w:t xml:space="preserve"> </w:t>
      </w:r>
      <w:r w:rsidR="0016219C" w:rsidRPr="0054107F">
        <w:rPr>
          <w:rFonts w:asciiTheme="majorHAnsi" w:hAnsiTheme="majorHAnsi"/>
          <w:i/>
          <w:sz w:val="22"/>
          <w:szCs w:val="22"/>
        </w:rPr>
        <w:t xml:space="preserve">odgovarajućim zakonskim </w:t>
      </w:r>
      <w:proofErr w:type="gramStart"/>
      <w:r w:rsidR="0016219C" w:rsidRPr="0054107F">
        <w:rPr>
          <w:rFonts w:asciiTheme="majorHAnsi" w:hAnsiTheme="majorHAnsi"/>
          <w:i/>
          <w:sz w:val="22"/>
          <w:szCs w:val="22"/>
        </w:rPr>
        <w:t>ili</w:t>
      </w:r>
      <w:proofErr w:type="gramEnd"/>
      <w:r w:rsidR="0016219C" w:rsidRPr="0054107F">
        <w:rPr>
          <w:rFonts w:asciiTheme="majorHAnsi" w:hAnsiTheme="majorHAnsi"/>
          <w:i/>
          <w:sz w:val="22"/>
          <w:szCs w:val="22"/>
        </w:rPr>
        <w:t xml:space="preserve"> podzakonskim normama obavezu institucija da proaktivno objavljuju godišnje izvještaje o radu.</w:t>
      </w:r>
    </w:p>
    <w:p w14:paraId="0B365162" w14:textId="77777777" w:rsidR="002A7FA2" w:rsidRPr="0054107F" w:rsidRDefault="002A7FA2" w:rsidP="00754472">
      <w:pPr>
        <w:jc w:val="both"/>
        <w:rPr>
          <w:rFonts w:asciiTheme="majorHAnsi" w:hAnsiTheme="majorHAnsi"/>
          <w:sz w:val="22"/>
          <w:szCs w:val="22"/>
        </w:rPr>
      </w:pPr>
    </w:p>
    <w:p w14:paraId="3DDCD9BE" w14:textId="77777777" w:rsidR="004C25C4" w:rsidRPr="0054107F" w:rsidRDefault="004C25C4" w:rsidP="00754472">
      <w:pPr>
        <w:pStyle w:val="ListParagraph"/>
        <w:jc w:val="both"/>
        <w:rPr>
          <w:rFonts w:asciiTheme="majorHAnsi" w:hAnsiTheme="majorHAnsi"/>
          <w:sz w:val="22"/>
          <w:szCs w:val="22"/>
        </w:rPr>
      </w:pPr>
    </w:p>
    <w:p w14:paraId="5C9A3041" w14:textId="77777777" w:rsidR="00C36F17" w:rsidRPr="0054107F" w:rsidRDefault="00C36F17" w:rsidP="00754472">
      <w:pPr>
        <w:pStyle w:val="ListParagraph"/>
        <w:numPr>
          <w:ilvl w:val="0"/>
          <w:numId w:val="1"/>
        </w:numPr>
        <w:jc w:val="both"/>
        <w:rPr>
          <w:rFonts w:asciiTheme="majorHAnsi" w:hAnsiTheme="majorHAnsi"/>
          <w:b/>
          <w:lang w:val="de-DE"/>
        </w:rPr>
      </w:pPr>
      <w:r w:rsidRPr="0054107F">
        <w:rPr>
          <w:rFonts w:asciiTheme="majorHAnsi" w:hAnsiTheme="majorHAnsi"/>
          <w:b/>
          <w:lang w:val="de-DE"/>
        </w:rPr>
        <w:t>Za</w:t>
      </w:r>
      <w:r w:rsidR="008138E9" w:rsidRPr="0054107F">
        <w:rPr>
          <w:rFonts w:asciiTheme="majorHAnsi" w:hAnsiTheme="majorHAnsi"/>
          <w:b/>
          <w:lang w:val="de-DE"/>
        </w:rPr>
        <w:t>p</w:t>
      </w:r>
      <w:r w:rsidRPr="0054107F">
        <w:rPr>
          <w:rFonts w:asciiTheme="majorHAnsi" w:hAnsiTheme="majorHAnsi"/>
          <w:b/>
          <w:lang w:val="de-DE"/>
        </w:rPr>
        <w:t>ošljavanje (informacije o konkursima i provođenom postupku</w:t>
      </w:r>
      <w:r w:rsidR="005277D2" w:rsidRPr="0054107F">
        <w:rPr>
          <w:rFonts w:asciiTheme="majorHAnsi" w:hAnsiTheme="majorHAnsi"/>
          <w:b/>
          <w:lang w:val="de-DE"/>
        </w:rPr>
        <w:t>)</w:t>
      </w:r>
    </w:p>
    <w:p w14:paraId="6E2487CA" w14:textId="636F0FD0" w:rsidR="00E24E47" w:rsidRPr="0054107F" w:rsidRDefault="00E24E47" w:rsidP="00754472">
      <w:pPr>
        <w:jc w:val="both"/>
        <w:rPr>
          <w:rFonts w:asciiTheme="majorHAnsi" w:hAnsiTheme="majorHAnsi"/>
          <w:color w:val="F79646" w:themeColor="accent6"/>
          <w:sz w:val="22"/>
          <w:szCs w:val="22"/>
        </w:rPr>
      </w:pPr>
    </w:p>
    <w:p w14:paraId="07392943" w14:textId="6190E22B" w:rsidR="0085015F" w:rsidRPr="0054107F" w:rsidRDefault="0085015F" w:rsidP="00754472">
      <w:pPr>
        <w:jc w:val="both"/>
        <w:rPr>
          <w:rFonts w:asciiTheme="majorHAnsi" w:hAnsiTheme="majorHAnsi"/>
          <w:bCs/>
          <w:iCs/>
          <w:sz w:val="22"/>
          <w:szCs w:val="22"/>
          <w:lang w:val="bs-Latn-BA"/>
        </w:rPr>
      </w:pPr>
      <w:r w:rsidRPr="0054107F">
        <w:rPr>
          <w:rFonts w:asciiTheme="majorHAnsi" w:hAnsiTheme="majorHAnsi"/>
          <w:bCs/>
          <w:iCs/>
          <w:sz w:val="22"/>
          <w:szCs w:val="22"/>
          <w:lang w:val="bs-Latn-BA"/>
        </w:rPr>
        <w:t>U periodu 2014</w:t>
      </w:r>
      <w:r w:rsidR="00423D8F">
        <w:rPr>
          <w:rFonts w:asciiTheme="majorHAnsi" w:hAnsiTheme="majorHAnsi"/>
          <w:bCs/>
          <w:iCs/>
          <w:sz w:val="22"/>
          <w:szCs w:val="22"/>
          <w:lang w:val="bs-Latn-BA"/>
        </w:rPr>
        <w:t>. – 20</w:t>
      </w:r>
      <w:r w:rsidRPr="0054107F">
        <w:rPr>
          <w:rFonts w:asciiTheme="majorHAnsi" w:hAnsiTheme="majorHAnsi"/>
          <w:bCs/>
          <w:iCs/>
          <w:sz w:val="22"/>
          <w:szCs w:val="22"/>
          <w:lang w:val="bs-Latn-BA"/>
        </w:rPr>
        <w:t>15</w:t>
      </w:r>
      <w:r w:rsidR="00423D8F">
        <w:rPr>
          <w:rFonts w:asciiTheme="majorHAnsi" w:hAnsiTheme="majorHAnsi"/>
          <w:bCs/>
          <w:iCs/>
          <w:sz w:val="22"/>
          <w:szCs w:val="22"/>
          <w:lang w:val="bs-Latn-BA"/>
        </w:rPr>
        <w:t>.</w:t>
      </w:r>
      <w:r w:rsidRPr="0054107F">
        <w:rPr>
          <w:rFonts w:asciiTheme="majorHAnsi" w:hAnsiTheme="majorHAnsi"/>
          <w:bCs/>
          <w:iCs/>
          <w:sz w:val="22"/>
          <w:szCs w:val="22"/>
          <w:lang w:val="bs-Latn-BA"/>
        </w:rPr>
        <w:t xml:space="preserve"> godina u 12 monitorisanih inst</w:t>
      </w:r>
      <w:r w:rsidR="00423D8F">
        <w:rPr>
          <w:rFonts w:asciiTheme="majorHAnsi" w:hAnsiTheme="majorHAnsi"/>
          <w:bCs/>
          <w:iCs/>
          <w:sz w:val="22"/>
          <w:szCs w:val="22"/>
          <w:lang w:val="bs-Latn-BA"/>
        </w:rPr>
        <w:t>itucija na državnom nivou vlasti raspisan je 41 konkurs</w:t>
      </w:r>
      <w:r w:rsidRPr="0054107F">
        <w:rPr>
          <w:rFonts w:asciiTheme="majorHAnsi" w:hAnsiTheme="majorHAnsi"/>
          <w:bCs/>
          <w:iCs/>
          <w:sz w:val="22"/>
          <w:szCs w:val="22"/>
          <w:lang w:val="bs-Latn-BA"/>
        </w:rPr>
        <w:t>, a zaposlene 127 osobe. Prema ovim podacima, to znači da se u prosjeku 5 osoba na godišnjem nivou zaposli u organima javne uprave na državnom nivou.</w:t>
      </w:r>
    </w:p>
    <w:p w14:paraId="0038C091" w14:textId="77777777" w:rsidR="0054107F" w:rsidRDefault="0054107F" w:rsidP="00754472">
      <w:pPr>
        <w:jc w:val="both"/>
        <w:rPr>
          <w:rFonts w:asciiTheme="majorHAnsi" w:hAnsiTheme="majorHAnsi"/>
          <w:color w:val="000000" w:themeColor="text1"/>
          <w:sz w:val="22"/>
          <w:szCs w:val="22"/>
          <w:lang w:val="bs-Latn-BA"/>
        </w:rPr>
      </w:pPr>
    </w:p>
    <w:p w14:paraId="20CC6525" w14:textId="3AC34416" w:rsidR="00423D8F" w:rsidRPr="0054107F" w:rsidRDefault="00423D8F" w:rsidP="00423D8F">
      <w:pPr>
        <w:jc w:val="both"/>
        <w:rPr>
          <w:rFonts w:asciiTheme="majorHAnsi" w:hAnsiTheme="majorHAnsi"/>
          <w:color w:val="000000" w:themeColor="text1"/>
          <w:sz w:val="22"/>
          <w:szCs w:val="22"/>
          <w:lang w:val="bs-Latn-BA"/>
        </w:rPr>
      </w:pPr>
      <w:r>
        <w:rPr>
          <w:rFonts w:asciiTheme="majorHAnsi" w:hAnsiTheme="majorHAnsi"/>
          <w:sz w:val="22"/>
          <w:szCs w:val="22"/>
          <w:lang w:val="bs-Latn-BA"/>
        </w:rPr>
        <w:t>U F</w:t>
      </w:r>
      <w:r w:rsidRPr="0054107F">
        <w:rPr>
          <w:rFonts w:asciiTheme="majorHAnsi" w:hAnsiTheme="majorHAnsi"/>
          <w:sz w:val="22"/>
          <w:szCs w:val="22"/>
          <w:lang w:val="bs-Latn-BA"/>
        </w:rPr>
        <w:t>BiH u dvije institucije od 9 nije bilo zapošljavanja u periodu 2014. - 2015. godina. ADS BiH je iznio sumarne podatke za proces zapošljavanja u FBiH, te je pr</w:t>
      </w:r>
      <w:r>
        <w:rPr>
          <w:rFonts w:asciiTheme="majorHAnsi" w:hAnsiTheme="majorHAnsi"/>
          <w:sz w:val="22"/>
          <w:szCs w:val="22"/>
          <w:lang w:val="bs-Latn-BA"/>
        </w:rPr>
        <w:t>e</w:t>
      </w:r>
      <w:r w:rsidRPr="0054107F">
        <w:rPr>
          <w:rFonts w:asciiTheme="majorHAnsi" w:hAnsiTheme="majorHAnsi"/>
          <w:sz w:val="22"/>
          <w:szCs w:val="22"/>
          <w:lang w:val="bs-Latn-BA"/>
        </w:rPr>
        <w:t>m</w:t>
      </w:r>
      <w:r>
        <w:rPr>
          <w:rFonts w:asciiTheme="majorHAnsi" w:hAnsiTheme="majorHAnsi"/>
          <w:sz w:val="22"/>
          <w:szCs w:val="22"/>
          <w:lang w:val="bs-Latn-BA"/>
        </w:rPr>
        <w:t>a</w:t>
      </w:r>
      <w:r w:rsidRPr="0054107F">
        <w:rPr>
          <w:rFonts w:asciiTheme="majorHAnsi" w:hAnsiTheme="majorHAnsi"/>
          <w:sz w:val="22"/>
          <w:szCs w:val="22"/>
          <w:lang w:val="bs-Latn-BA"/>
        </w:rPr>
        <w:t xml:space="preserve"> njihovim evidencijama u periodu 2014</w:t>
      </w:r>
      <w:r>
        <w:rPr>
          <w:rFonts w:asciiTheme="majorHAnsi" w:hAnsiTheme="majorHAnsi"/>
          <w:sz w:val="22"/>
          <w:szCs w:val="22"/>
          <w:lang w:val="bs-Latn-BA"/>
        </w:rPr>
        <w:t xml:space="preserve">. </w:t>
      </w:r>
      <w:r w:rsidRPr="0054107F">
        <w:rPr>
          <w:rFonts w:asciiTheme="majorHAnsi" w:hAnsiTheme="majorHAnsi"/>
          <w:sz w:val="22"/>
          <w:szCs w:val="22"/>
          <w:lang w:val="bs-Latn-BA"/>
        </w:rPr>
        <w:t>-2015</w:t>
      </w:r>
      <w:r>
        <w:rPr>
          <w:rFonts w:asciiTheme="majorHAnsi" w:hAnsiTheme="majorHAnsi"/>
          <w:sz w:val="22"/>
          <w:szCs w:val="22"/>
          <w:lang w:val="bs-Latn-BA"/>
        </w:rPr>
        <w:t>.</w:t>
      </w:r>
      <w:r w:rsidRPr="0054107F">
        <w:rPr>
          <w:rFonts w:asciiTheme="majorHAnsi" w:hAnsiTheme="majorHAnsi"/>
          <w:sz w:val="22"/>
          <w:szCs w:val="22"/>
          <w:lang w:val="bs-Latn-BA"/>
        </w:rPr>
        <w:t xml:space="preserve"> godina raspisano 516 konkursa, a zaposleno 636 osoba. </w:t>
      </w:r>
      <w:r w:rsidRPr="0054107F">
        <w:rPr>
          <w:rFonts w:asciiTheme="majorHAnsi" w:hAnsiTheme="majorHAnsi"/>
          <w:color w:val="000000" w:themeColor="text1"/>
          <w:sz w:val="22"/>
          <w:szCs w:val="22"/>
          <w:lang w:val="bs-Latn-BA"/>
        </w:rPr>
        <w:t>Iz Ureda za reviziju institucija u FBiH daju preporuku za popunjavanja radnih mjesta definisanih Pravilnikom o unutrašnjoj organizaciji na način utvrđen Zakonom o državnoj službi u FBiH</w:t>
      </w:r>
      <w:r w:rsidRPr="0054107F">
        <w:rPr>
          <w:rStyle w:val="FootnoteReference"/>
          <w:rFonts w:asciiTheme="majorHAnsi" w:hAnsiTheme="majorHAnsi" w:cs="Calibri"/>
          <w:bCs/>
          <w:iCs/>
          <w:sz w:val="22"/>
          <w:szCs w:val="22"/>
          <w:lang w:val="bs-Latn-BA"/>
        </w:rPr>
        <w:footnoteReference w:id="33"/>
      </w:r>
      <w:r w:rsidRPr="0054107F">
        <w:rPr>
          <w:rFonts w:asciiTheme="majorHAnsi" w:hAnsiTheme="majorHAnsi" w:cs="Calibri"/>
          <w:bCs/>
          <w:iCs/>
          <w:sz w:val="22"/>
          <w:szCs w:val="22"/>
          <w:lang w:val="bs-Latn-BA"/>
        </w:rPr>
        <w:t xml:space="preserve">. </w:t>
      </w:r>
      <w:r w:rsidRPr="0054107F">
        <w:rPr>
          <w:rFonts w:asciiTheme="majorHAnsi" w:hAnsiTheme="majorHAnsi"/>
          <w:color w:val="000000" w:themeColor="text1"/>
          <w:sz w:val="22"/>
          <w:szCs w:val="22"/>
          <w:lang w:val="bs-Latn-BA"/>
        </w:rPr>
        <w:t xml:space="preserve">Isticanje ovakave proporuke Ureda za reviziju samo ukazuje na nepravilinosti prilikom popunjavanja radnih mjesta i zapošljavanja. </w:t>
      </w:r>
    </w:p>
    <w:p w14:paraId="7A4EC0C1" w14:textId="77777777" w:rsidR="00423D8F" w:rsidRDefault="00423D8F" w:rsidP="00423D8F">
      <w:pPr>
        <w:jc w:val="both"/>
        <w:rPr>
          <w:rFonts w:asciiTheme="majorHAnsi" w:hAnsiTheme="majorHAnsi"/>
          <w:sz w:val="22"/>
          <w:szCs w:val="22"/>
          <w:lang w:val="bs-Latn-BA"/>
        </w:rPr>
      </w:pPr>
    </w:p>
    <w:p w14:paraId="27EE5D99" w14:textId="1933108F" w:rsidR="00423D8F" w:rsidRPr="0054107F" w:rsidRDefault="00423D8F" w:rsidP="00423D8F">
      <w:pPr>
        <w:jc w:val="both"/>
        <w:rPr>
          <w:rFonts w:asciiTheme="majorHAnsi" w:hAnsiTheme="majorHAnsi"/>
          <w:sz w:val="22"/>
          <w:szCs w:val="22"/>
          <w:lang w:val="bs-Latn-BA"/>
        </w:rPr>
      </w:pPr>
      <w:r w:rsidRPr="0054107F">
        <w:rPr>
          <w:rFonts w:asciiTheme="majorHAnsi" w:hAnsiTheme="majorHAnsi"/>
          <w:sz w:val="22"/>
          <w:szCs w:val="22"/>
          <w:lang w:val="bs-Latn-BA"/>
        </w:rPr>
        <w:t xml:space="preserve">Samo u Poreznoj upravi FBiH je u referentnom periodu zaposleno 75 osoba, dok su u svim ostalim insititucijama zaposlene po dvije osobe u prosjeku u periodu od dvije godine. U isto vrijeme dok bilježi </w:t>
      </w:r>
      <w:r w:rsidRPr="0054107F">
        <w:rPr>
          <w:rFonts w:asciiTheme="majorHAnsi" w:hAnsiTheme="majorHAnsi"/>
          <w:sz w:val="22"/>
          <w:szCs w:val="22"/>
          <w:lang w:val="bs-Latn-BA"/>
        </w:rPr>
        <w:lastRenderedPageBreak/>
        <w:t>velike brojke u z</w:t>
      </w:r>
      <w:r>
        <w:rPr>
          <w:rFonts w:asciiTheme="majorHAnsi" w:hAnsiTheme="majorHAnsi"/>
          <w:sz w:val="22"/>
          <w:szCs w:val="22"/>
          <w:lang w:val="bs-Latn-BA"/>
        </w:rPr>
        <w:t>apošljavanju, ova institucija F</w:t>
      </w:r>
      <w:r w:rsidRPr="0054107F">
        <w:rPr>
          <w:rFonts w:asciiTheme="majorHAnsi" w:hAnsiTheme="majorHAnsi"/>
          <w:sz w:val="22"/>
          <w:szCs w:val="22"/>
          <w:lang w:val="bs-Latn-BA"/>
        </w:rPr>
        <w:t>BiH vodi impozantan broj radnih sporova i na osnovu toga bilježi velike novčane izdatk</w:t>
      </w:r>
      <w:r>
        <w:rPr>
          <w:rFonts w:asciiTheme="majorHAnsi" w:hAnsiTheme="majorHAnsi"/>
          <w:sz w:val="22"/>
          <w:szCs w:val="22"/>
          <w:lang w:val="bs-Latn-BA"/>
        </w:rPr>
        <w:t>e. Uz preporuke koje izlaze iz U</w:t>
      </w:r>
      <w:r w:rsidRPr="0054107F">
        <w:rPr>
          <w:rFonts w:asciiTheme="majorHAnsi" w:hAnsiTheme="majorHAnsi"/>
          <w:sz w:val="22"/>
          <w:szCs w:val="22"/>
          <w:lang w:val="bs-Latn-BA"/>
        </w:rPr>
        <w:t>reda za reviziju, ovakvi pokazatelji dovode u pitanje valjanost procesa upravljanja ljudskim resursima.</w:t>
      </w:r>
    </w:p>
    <w:p w14:paraId="1423143F" w14:textId="77777777" w:rsidR="00423D8F" w:rsidRDefault="00423D8F" w:rsidP="00754472">
      <w:pPr>
        <w:jc w:val="both"/>
        <w:rPr>
          <w:rFonts w:asciiTheme="majorHAnsi" w:hAnsiTheme="majorHAnsi"/>
          <w:color w:val="000000" w:themeColor="text1"/>
          <w:sz w:val="22"/>
          <w:szCs w:val="22"/>
          <w:lang w:val="bs-Latn-BA"/>
        </w:rPr>
      </w:pPr>
    </w:p>
    <w:p w14:paraId="5F01915F" w14:textId="570EECEE" w:rsidR="000B53A3" w:rsidRPr="0054107F" w:rsidRDefault="0054107F" w:rsidP="00754472">
      <w:pPr>
        <w:jc w:val="both"/>
        <w:rPr>
          <w:rFonts w:asciiTheme="majorHAnsi" w:hAnsiTheme="majorHAnsi"/>
          <w:color w:val="000000" w:themeColor="text1"/>
          <w:sz w:val="22"/>
          <w:szCs w:val="22"/>
          <w:lang w:val="bs-Latn-BA"/>
        </w:rPr>
      </w:pPr>
      <w:r w:rsidRPr="0054107F">
        <w:rPr>
          <w:rFonts w:asciiTheme="majorHAnsi" w:hAnsiTheme="majorHAnsi"/>
          <w:color w:val="000000" w:themeColor="text1"/>
          <w:sz w:val="22"/>
          <w:szCs w:val="22"/>
          <w:lang w:val="bs-Latn-BA"/>
        </w:rPr>
        <w:t>U periodu 2014</w:t>
      </w:r>
      <w:r w:rsidR="00423D8F">
        <w:rPr>
          <w:rFonts w:asciiTheme="majorHAnsi" w:hAnsiTheme="majorHAnsi"/>
          <w:color w:val="000000" w:themeColor="text1"/>
          <w:sz w:val="22"/>
          <w:szCs w:val="22"/>
          <w:lang w:val="bs-Latn-BA"/>
        </w:rPr>
        <w:t>. – 20</w:t>
      </w:r>
      <w:r w:rsidRPr="0054107F">
        <w:rPr>
          <w:rFonts w:asciiTheme="majorHAnsi" w:hAnsiTheme="majorHAnsi"/>
          <w:color w:val="000000" w:themeColor="text1"/>
          <w:sz w:val="22"/>
          <w:szCs w:val="22"/>
          <w:lang w:val="bs-Latn-BA"/>
        </w:rPr>
        <w:t>15</w:t>
      </w:r>
      <w:r w:rsidR="00423D8F">
        <w:rPr>
          <w:rFonts w:asciiTheme="majorHAnsi" w:hAnsiTheme="majorHAnsi"/>
          <w:color w:val="000000" w:themeColor="text1"/>
          <w:sz w:val="22"/>
          <w:szCs w:val="22"/>
          <w:lang w:val="bs-Latn-BA"/>
        </w:rPr>
        <w:t xml:space="preserve">. </w:t>
      </w:r>
      <w:r w:rsidRPr="0054107F">
        <w:rPr>
          <w:rFonts w:asciiTheme="majorHAnsi" w:hAnsiTheme="majorHAnsi"/>
          <w:color w:val="000000" w:themeColor="text1"/>
          <w:sz w:val="22"/>
          <w:szCs w:val="22"/>
          <w:lang w:val="bs-Latn-BA"/>
        </w:rPr>
        <w:t>godina u 12</w:t>
      </w:r>
      <w:r w:rsidR="009236F1" w:rsidRPr="0054107F">
        <w:rPr>
          <w:rFonts w:asciiTheme="majorHAnsi" w:hAnsiTheme="majorHAnsi"/>
          <w:color w:val="000000" w:themeColor="text1"/>
          <w:sz w:val="22"/>
          <w:szCs w:val="22"/>
          <w:lang w:val="bs-Latn-BA"/>
        </w:rPr>
        <w:t xml:space="preserve"> monitorisanih institucija</w:t>
      </w:r>
      <w:r w:rsidR="002A7FA2" w:rsidRPr="0054107F">
        <w:rPr>
          <w:rFonts w:asciiTheme="majorHAnsi" w:hAnsiTheme="majorHAnsi"/>
          <w:color w:val="000000" w:themeColor="text1"/>
          <w:sz w:val="22"/>
          <w:szCs w:val="22"/>
          <w:lang w:val="bs-Latn-BA"/>
        </w:rPr>
        <w:t xml:space="preserve"> RS</w:t>
      </w:r>
      <w:r w:rsidRPr="0054107F">
        <w:rPr>
          <w:rFonts w:asciiTheme="majorHAnsi" w:hAnsiTheme="majorHAnsi"/>
          <w:color w:val="000000" w:themeColor="text1"/>
          <w:sz w:val="22"/>
          <w:szCs w:val="22"/>
          <w:lang w:val="bs-Latn-BA"/>
        </w:rPr>
        <w:t xml:space="preserve"> raspisana su 33 konkursa, a zaposleno 65 osoba</w:t>
      </w:r>
      <w:r w:rsidR="009236F1" w:rsidRPr="0054107F">
        <w:rPr>
          <w:rFonts w:asciiTheme="majorHAnsi" w:hAnsiTheme="majorHAnsi"/>
          <w:color w:val="000000" w:themeColor="text1"/>
          <w:sz w:val="22"/>
          <w:szCs w:val="22"/>
          <w:lang w:val="bs-Latn-BA"/>
        </w:rPr>
        <w:t xml:space="preserve">. </w:t>
      </w:r>
      <w:r w:rsidR="00423D8F">
        <w:rPr>
          <w:rFonts w:asciiTheme="majorHAnsi" w:hAnsiTheme="majorHAnsi"/>
          <w:color w:val="000000" w:themeColor="text1"/>
          <w:sz w:val="22"/>
          <w:szCs w:val="22"/>
          <w:lang w:val="bs-Latn-BA"/>
        </w:rPr>
        <w:t>To</w:t>
      </w:r>
      <w:r w:rsidR="009236F1" w:rsidRPr="0054107F">
        <w:rPr>
          <w:rFonts w:asciiTheme="majorHAnsi" w:hAnsiTheme="majorHAnsi"/>
          <w:color w:val="000000" w:themeColor="text1"/>
          <w:sz w:val="22"/>
          <w:szCs w:val="22"/>
          <w:lang w:val="bs-Latn-BA"/>
        </w:rPr>
        <w:t xml:space="preserve"> znači da se u prosjeku skoro 3 osobe na godišnjem nivou za</w:t>
      </w:r>
      <w:r w:rsidR="006B1D49" w:rsidRPr="0054107F">
        <w:rPr>
          <w:rFonts w:asciiTheme="majorHAnsi" w:hAnsiTheme="majorHAnsi"/>
          <w:color w:val="000000" w:themeColor="text1"/>
          <w:sz w:val="22"/>
          <w:szCs w:val="22"/>
          <w:lang w:val="bs-Latn-BA"/>
        </w:rPr>
        <w:t>posle u organima javne uprave</w:t>
      </w:r>
      <w:r w:rsidR="00423D8F">
        <w:rPr>
          <w:rFonts w:asciiTheme="majorHAnsi" w:hAnsiTheme="majorHAnsi"/>
          <w:color w:val="000000" w:themeColor="text1"/>
          <w:sz w:val="22"/>
          <w:szCs w:val="22"/>
          <w:lang w:val="bs-Latn-BA"/>
        </w:rPr>
        <w:t xml:space="preserve"> RS</w:t>
      </w:r>
      <w:r w:rsidR="006B1D49" w:rsidRPr="0054107F">
        <w:rPr>
          <w:rFonts w:asciiTheme="majorHAnsi" w:hAnsiTheme="majorHAnsi"/>
          <w:color w:val="000000" w:themeColor="text1"/>
          <w:sz w:val="22"/>
          <w:szCs w:val="22"/>
          <w:lang w:val="bs-Latn-BA"/>
        </w:rPr>
        <w:t xml:space="preserve">. Prema podacima Agencije za državnu upravu RS, u 2014. godini raspisano je 59 konkursa, a izabrana su 203 kandidata.  </w:t>
      </w:r>
    </w:p>
    <w:p w14:paraId="22298E21" w14:textId="77777777" w:rsidR="009236F1" w:rsidRPr="0054107F" w:rsidRDefault="009236F1" w:rsidP="00754472">
      <w:pPr>
        <w:jc w:val="both"/>
        <w:rPr>
          <w:rFonts w:asciiTheme="majorHAnsi" w:hAnsiTheme="majorHAnsi"/>
          <w:sz w:val="22"/>
          <w:szCs w:val="22"/>
          <w:highlight w:val="yellow"/>
          <w:lang w:val="bs-Latn-BA"/>
        </w:rPr>
      </w:pPr>
    </w:p>
    <w:p w14:paraId="471857E5" w14:textId="77777777" w:rsidR="0054107F" w:rsidRPr="0054107F" w:rsidRDefault="0054107F" w:rsidP="0054107F">
      <w:pPr>
        <w:jc w:val="both"/>
        <w:rPr>
          <w:rFonts w:asciiTheme="majorHAnsi" w:eastAsia="Calibri" w:hAnsiTheme="majorHAnsi" w:cs="Times New Roman"/>
          <w:bCs/>
          <w:i/>
          <w:iCs/>
          <w:sz w:val="22"/>
          <w:szCs w:val="22"/>
          <w:lang w:val="bs-Latn-BA"/>
        </w:rPr>
      </w:pPr>
      <w:r w:rsidRPr="0054107F">
        <w:rPr>
          <w:rFonts w:asciiTheme="majorHAnsi" w:eastAsia="Calibri" w:hAnsiTheme="majorHAnsi" w:cs="Times New Roman"/>
          <w:b/>
          <w:bCs/>
          <w:iCs/>
          <w:sz w:val="22"/>
          <w:szCs w:val="22"/>
          <w:lang w:val="bs-Latn-BA"/>
        </w:rPr>
        <w:t>Zaključak</w:t>
      </w:r>
      <w:r w:rsidRPr="0054107F">
        <w:rPr>
          <w:rFonts w:asciiTheme="majorHAnsi" w:eastAsia="Calibri" w:hAnsiTheme="majorHAnsi" w:cs="Times New Roman"/>
          <w:bCs/>
          <w:i/>
          <w:iCs/>
          <w:sz w:val="22"/>
          <w:szCs w:val="22"/>
          <w:lang w:val="bs-Latn-BA"/>
        </w:rPr>
        <w:t xml:space="preserve">: Na nivou FBiH trenutno je na snazi Zaključak Vlade FBiH o obustavi konkursnih procedura za prijem državnih službenika, namještenika i ostalih zaposlenika do 31.03.2016. godine. Vlada RS je u još u 2010. godini donijela zaključak kojim se obustavljanju zapošljavanja u javnoj upravi, osim ako Vlada RS u posebnom postupku ne da saglasnost na zapošljavanje. Vlade na svim nivoima vlasti su se obavezale da u skladu sa Reformskom agendom ograniče zapošljavanja u javnoj upravi dok ne budu doneseni revidirani kadrovski planovi. Prema nalazima iz monitoringa to sve nije uticalo za sada na dinamiku zapošljavanja u javnoj upravi, a ako se to još poveže sa zaključkom o nedostatku sistemskog kadrovskog planiranja onda ovaj nalaz izaziva još veću zabrinutost jer to znači da trenutna politika zapošljavanja nije zasnovana na sistemskom planiranju. </w:t>
      </w:r>
    </w:p>
    <w:p w14:paraId="0BF0C968" w14:textId="77777777" w:rsidR="0054107F" w:rsidRPr="0054107F" w:rsidRDefault="0054107F" w:rsidP="0054107F">
      <w:pPr>
        <w:jc w:val="both"/>
        <w:rPr>
          <w:rFonts w:asciiTheme="majorHAnsi" w:eastAsia="Calibri" w:hAnsiTheme="majorHAnsi" w:cs="Times New Roman"/>
          <w:bCs/>
          <w:i/>
          <w:iCs/>
          <w:sz w:val="22"/>
          <w:szCs w:val="22"/>
          <w:lang w:val="bs-Latn-BA"/>
        </w:rPr>
      </w:pPr>
    </w:p>
    <w:p w14:paraId="32888423" w14:textId="448172D3" w:rsidR="00083ACE" w:rsidRPr="00423D8F" w:rsidRDefault="0054107F" w:rsidP="00754472">
      <w:pPr>
        <w:jc w:val="both"/>
        <w:rPr>
          <w:rFonts w:asciiTheme="majorHAnsi" w:eastAsia="Calibri" w:hAnsiTheme="majorHAnsi" w:cs="Times New Roman"/>
          <w:sz w:val="22"/>
          <w:szCs w:val="22"/>
          <w:lang w:val="bs-Latn-BA"/>
        </w:rPr>
      </w:pPr>
      <w:r w:rsidRPr="0054107F">
        <w:rPr>
          <w:rFonts w:asciiTheme="majorHAnsi" w:eastAsia="Calibri" w:hAnsiTheme="majorHAnsi" w:cs="Times New Roman"/>
          <w:b/>
          <w:bCs/>
          <w:iCs/>
          <w:sz w:val="22"/>
          <w:szCs w:val="22"/>
          <w:lang w:val="bs-Latn-BA"/>
        </w:rPr>
        <w:t>Preporuka:</w:t>
      </w:r>
      <w:r w:rsidRPr="0054107F">
        <w:rPr>
          <w:rFonts w:asciiTheme="majorHAnsi" w:eastAsia="Calibri" w:hAnsiTheme="majorHAnsi" w:cs="Times New Roman"/>
          <w:bCs/>
          <w:i/>
          <w:iCs/>
          <w:sz w:val="22"/>
          <w:szCs w:val="22"/>
          <w:lang w:val="bs-Latn-BA"/>
        </w:rPr>
        <w:t xml:space="preserve"> J</w:t>
      </w:r>
      <w:r w:rsidR="00423D8F">
        <w:rPr>
          <w:rFonts w:asciiTheme="majorHAnsi" w:eastAsia="Calibri" w:hAnsiTheme="majorHAnsi" w:cs="Times New Roman"/>
          <w:bCs/>
          <w:i/>
          <w:iCs/>
          <w:sz w:val="22"/>
          <w:szCs w:val="22"/>
          <w:lang w:val="bs-Latn-BA"/>
        </w:rPr>
        <w:t>asno definisati sistem praćenja</w:t>
      </w:r>
      <w:r w:rsidRPr="0054107F">
        <w:rPr>
          <w:rFonts w:asciiTheme="majorHAnsi" w:eastAsia="Calibri" w:hAnsiTheme="majorHAnsi" w:cs="Times New Roman"/>
          <w:bCs/>
          <w:i/>
          <w:iCs/>
          <w:sz w:val="22"/>
          <w:szCs w:val="22"/>
          <w:lang w:val="bs-Latn-BA"/>
        </w:rPr>
        <w:t xml:space="preserve"> i analize zapošljavanja u određenom vremenskom periodu kako bi moglo utvrditi da li je ostvarena dinamika zapošljavanja u skladu sa postavljenim ciljevima. Prije svega, </w:t>
      </w:r>
      <w:r w:rsidR="00423D8F">
        <w:rPr>
          <w:rFonts w:asciiTheme="majorHAnsi" w:eastAsia="Calibri" w:hAnsiTheme="majorHAnsi" w:cs="Times New Roman"/>
          <w:bCs/>
          <w:i/>
          <w:iCs/>
          <w:sz w:val="22"/>
          <w:szCs w:val="22"/>
          <w:lang w:val="bs-Latn-BA"/>
        </w:rPr>
        <w:t>u skladu sa politikom zacrtanom</w:t>
      </w:r>
      <w:r w:rsidRPr="0054107F">
        <w:rPr>
          <w:rFonts w:asciiTheme="majorHAnsi" w:eastAsia="Calibri" w:hAnsiTheme="majorHAnsi" w:cs="Times New Roman"/>
          <w:bCs/>
          <w:i/>
          <w:iCs/>
          <w:sz w:val="22"/>
          <w:szCs w:val="22"/>
          <w:lang w:val="bs-Latn-BA"/>
        </w:rPr>
        <w:t xml:space="preserve"> u Reformskoj agendi uvesti jasno definisana dugoročna ograničenja na zapošljavanje u javnoj upravi, a zapošljavanje povezati sa planskim kadrovskim planirnajem</w:t>
      </w:r>
      <w:r w:rsidRPr="0054107F">
        <w:rPr>
          <w:rFonts w:asciiTheme="majorHAnsi" w:eastAsia="Calibri" w:hAnsiTheme="majorHAnsi" w:cs="Times New Roman"/>
          <w:bCs/>
          <w:iCs/>
          <w:sz w:val="22"/>
          <w:szCs w:val="22"/>
          <w:lang w:val="bs-Latn-BA"/>
        </w:rPr>
        <w:t xml:space="preserve">.   </w:t>
      </w:r>
    </w:p>
    <w:sectPr w:rsidR="00083ACE" w:rsidRPr="00423D8F" w:rsidSect="00324A7B">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8A2E" w14:textId="77777777" w:rsidR="00554976" w:rsidRDefault="00554976" w:rsidP="007C399C">
      <w:r>
        <w:separator/>
      </w:r>
    </w:p>
  </w:endnote>
  <w:endnote w:type="continuationSeparator" w:id="0">
    <w:p w14:paraId="1BFC2766" w14:textId="77777777" w:rsidR="00554976" w:rsidRDefault="00554976" w:rsidP="007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6906"/>
      <w:docPartObj>
        <w:docPartGallery w:val="Page Numbers (Bottom of Page)"/>
        <w:docPartUnique/>
      </w:docPartObj>
    </w:sdtPr>
    <w:sdtEndPr>
      <w:rPr>
        <w:noProof/>
      </w:rPr>
    </w:sdtEndPr>
    <w:sdtContent>
      <w:p w14:paraId="06CDB305" w14:textId="30FD122D" w:rsidR="00423D8F" w:rsidRDefault="00423D8F">
        <w:pPr>
          <w:pStyle w:val="Footer"/>
          <w:jc w:val="right"/>
        </w:pPr>
        <w:r>
          <w:fldChar w:fldCharType="begin"/>
        </w:r>
        <w:r>
          <w:instrText xml:space="preserve"> PAGE   \* MERGEFORMAT </w:instrText>
        </w:r>
        <w:r>
          <w:fldChar w:fldCharType="separate"/>
        </w:r>
        <w:r w:rsidR="00FC6D50">
          <w:rPr>
            <w:noProof/>
          </w:rPr>
          <w:t>16</w:t>
        </w:r>
        <w:r>
          <w:rPr>
            <w:noProof/>
          </w:rPr>
          <w:fldChar w:fldCharType="end"/>
        </w:r>
      </w:p>
    </w:sdtContent>
  </w:sdt>
  <w:p w14:paraId="54AD08F3" w14:textId="77777777" w:rsidR="00423D8F" w:rsidRDefault="0042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E04A" w14:textId="77777777" w:rsidR="00554976" w:rsidRDefault="00554976" w:rsidP="007C399C">
      <w:r>
        <w:separator/>
      </w:r>
    </w:p>
  </w:footnote>
  <w:footnote w:type="continuationSeparator" w:id="0">
    <w:p w14:paraId="1B82C388" w14:textId="77777777" w:rsidR="00554976" w:rsidRDefault="00554976" w:rsidP="007C399C">
      <w:r>
        <w:continuationSeparator/>
      </w:r>
    </w:p>
  </w:footnote>
  <w:footnote w:id="1">
    <w:p w14:paraId="50DA25DF" w14:textId="77777777" w:rsidR="00B3563F" w:rsidRPr="00F9072C" w:rsidRDefault="00B3563F" w:rsidP="00582BC3">
      <w:pPr>
        <w:pStyle w:val="FootnoteText"/>
        <w:jc w:val="both"/>
        <w:rPr>
          <w:rFonts w:asciiTheme="majorHAnsi" w:hAnsiTheme="majorHAnsi"/>
          <w:sz w:val="16"/>
          <w:szCs w:val="16"/>
          <w:lang w:val="de-DE"/>
        </w:rPr>
      </w:pPr>
      <w:r>
        <w:rPr>
          <w:rStyle w:val="FootnoteReference"/>
        </w:rPr>
        <w:footnoteRef/>
      </w:r>
      <w:r w:rsidRPr="00F9072C">
        <w:rPr>
          <w:rFonts w:asciiTheme="majorHAnsi" w:hAnsiTheme="majorHAnsi"/>
          <w:sz w:val="16"/>
          <w:szCs w:val="16"/>
          <w:lang w:val="de-DE"/>
        </w:rPr>
        <w:t>Agencija za državnu službu, Ministarstvo civilnih poslova, Regulatorna agencija za komunikacije BiH, Direkcija za koordinaciju policijskih tijela BiH, Agencija za nadzor nad tržištem BiH, Agencija za visoko obrazovanje i osiguranje kvaliteta BiH, Agencija za prevenciju korupcije i koordinaciju borbe protiv korupcije, Ured koordinatora za reformu javne uprave BiH, Ministarstvo vanjskih poslova BiH, Direkcija za evropske integracije, Ministarstvo pravde BiH, Centralna harmonizacijska jedinica (Ministarstvo finansija i trezora BiH), Ministarstvo odbrane BiH, Ministarstvo finansija BiH, Ministarstvo za izbjeglice i raseljena lica BiH (državni nivo, BiH);</w:t>
      </w:r>
    </w:p>
    <w:p w14:paraId="5BEBC330" w14:textId="77777777" w:rsidR="00B3563F" w:rsidRPr="00F9072C" w:rsidRDefault="00B3563F" w:rsidP="00582BC3">
      <w:pPr>
        <w:pStyle w:val="FootnoteText"/>
        <w:jc w:val="both"/>
        <w:rPr>
          <w:rFonts w:asciiTheme="majorHAnsi" w:hAnsiTheme="majorHAnsi"/>
          <w:sz w:val="16"/>
          <w:szCs w:val="16"/>
          <w:lang w:val="de-DE"/>
        </w:rPr>
      </w:pPr>
      <w:r w:rsidRPr="00F9072C">
        <w:rPr>
          <w:rFonts w:asciiTheme="majorHAnsi" w:hAnsiTheme="majorHAnsi"/>
          <w:sz w:val="16"/>
          <w:szCs w:val="16"/>
          <w:lang w:val="de-DE"/>
        </w:rPr>
        <w:t>Agencija za državnu službu FBiH, Poreska uprava FBiH, Federalna uprava za geodetske i imovinsko-pravne poslove, Federalno ministarstvo poljoprivrede, vodoprivrede i šumarstva, Federalno ministarstvo pravde, Federalno ministarstvo finansija, Federalno ministarstvo obrazovanja, Federalno ministarstvo raseljenih osoba i izbjeglica, Federalno ministarstvo zdravstva, Federalno ministarstvo prostornog uređenja, Agencija za bankarstvo FBiH, Agencija za privatizaciju u FBiH, Federalna direkcija robnih rezervi, Komisija za vrijednosne papire FBiH, Zavod za javno zdravstvo FBiH (entitetski nivo, FBiH);</w:t>
      </w:r>
    </w:p>
    <w:p w14:paraId="7EABE6D8" w14:textId="684DC585" w:rsidR="00B3563F" w:rsidRPr="00F9072C" w:rsidRDefault="00B3563F" w:rsidP="00582BC3">
      <w:pPr>
        <w:pStyle w:val="FootnoteText"/>
        <w:jc w:val="both"/>
        <w:rPr>
          <w:rFonts w:asciiTheme="majorHAnsi" w:hAnsiTheme="majorHAnsi"/>
          <w:sz w:val="16"/>
          <w:szCs w:val="16"/>
          <w:lang w:val="de-DE"/>
        </w:rPr>
      </w:pPr>
      <w:r w:rsidRPr="00F9072C">
        <w:rPr>
          <w:rFonts w:asciiTheme="majorHAnsi" w:hAnsiTheme="majorHAnsi"/>
          <w:sz w:val="16"/>
          <w:szCs w:val="16"/>
          <w:lang w:val="de-DE"/>
        </w:rPr>
        <w:t>Republička uprava za geodetske i imovinsko-pravne poslove, Republička uprava za inspekcijske poslove, Rebublička agencija za razvoj malih i srednjih preduzeća, Agencija za državnu upravu RS, Ministarstvo uprave i lokalne samouprave RS, Ministarstvo finansija RS, Ministarstvo rada i boračko-invalidske zaštite RS,  Helikopterski servis RS, Ministarstvo poljoprivrede, šumarstva i vodoprivrede RS, Ministarstvo zdravlja i socijalne zaštite RS, Ministarstvo za izbjeglice i raseljena lica RS, Ministarstvo pravde RS, Ministarstvo za prostorno uređenje, građevinarstvo i ekologiju RS, Ministarstvo porodice, omladine i sporta RS, Agencija za bankarstvo RS (entitetski nivo, Republika Srpska);</w:t>
      </w:r>
    </w:p>
    <w:p w14:paraId="23C3E794" w14:textId="77777777" w:rsidR="00B3563F" w:rsidRPr="00F9072C" w:rsidRDefault="00B3563F" w:rsidP="00582BC3">
      <w:pPr>
        <w:pStyle w:val="FootnoteText"/>
        <w:jc w:val="both"/>
        <w:rPr>
          <w:rFonts w:asciiTheme="majorHAnsi" w:hAnsiTheme="majorHAnsi"/>
          <w:sz w:val="16"/>
          <w:szCs w:val="16"/>
          <w:lang w:val="de-DE"/>
        </w:rPr>
      </w:pPr>
      <w:r w:rsidRPr="00F9072C">
        <w:rPr>
          <w:rFonts w:asciiTheme="majorHAnsi" w:hAnsiTheme="majorHAnsi"/>
          <w:sz w:val="16"/>
          <w:szCs w:val="16"/>
          <w:lang w:val="de-DE"/>
        </w:rPr>
        <w:t xml:space="preserve">Odjeljenje za stručne i administrativne poslove, Pododjeljenje za ljudske resurse, Kancelarija Gradonačelnika, Direkcija za finansije i Odjel za javni registar (Brčko distrikt).  </w:t>
      </w:r>
    </w:p>
    <w:p w14:paraId="2D97DD07" w14:textId="77777777" w:rsidR="00B3563F" w:rsidRPr="00C51BF5" w:rsidRDefault="00B3563F" w:rsidP="00582BC3">
      <w:pPr>
        <w:pStyle w:val="FootnoteText"/>
        <w:rPr>
          <w:lang w:val="de-DE"/>
        </w:rPr>
      </w:pPr>
    </w:p>
  </w:footnote>
  <w:footnote w:id="2">
    <w:p w14:paraId="2AF07CAD" w14:textId="623D3420" w:rsidR="00B3563F" w:rsidRPr="007C399C" w:rsidRDefault="00B3563F" w:rsidP="00F9072C">
      <w:pPr>
        <w:pStyle w:val="FootnoteText"/>
        <w:jc w:val="both"/>
        <w:rPr>
          <w:rFonts w:asciiTheme="majorHAnsi" w:hAnsiTheme="majorHAnsi"/>
          <w:sz w:val="20"/>
          <w:szCs w:val="20"/>
          <w:lang w:val="hr-HR"/>
        </w:rPr>
      </w:pPr>
      <w:r w:rsidRPr="007C399C">
        <w:rPr>
          <w:rStyle w:val="FootnoteReference"/>
          <w:rFonts w:asciiTheme="majorHAnsi" w:hAnsiTheme="majorHAnsi"/>
          <w:sz w:val="20"/>
          <w:szCs w:val="20"/>
        </w:rPr>
        <w:footnoteRef/>
      </w:r>
      <w:r w:rsidRPr="00582BC3">
        <w:rPr>
          <w:rFonts w:asciiTheme="majorHAnsi" w:hAnsiTheme="majorHAnsi"/>
          <w:sz w:val="20"/>
          <w:szCs w:val="20"/>
          <w:lang w:val="de-DE"/>
        </w:rPr>
        <w:t xml:space="preserve"> </w:t>
      </w:r>
      <w:r w:rsidRPr="00F9072C">
        <w:rPr>
          <w:rFonts w:asciiTheme="majorHAnsi" w:hAnsiTheme="majorHAnsi"/>
          <w:sz w:val="16"/>
          <w:szCs w:val="16"/>
          <w:lang w:val="hr-HR"/>
        </w:rPr>
        <w:t>Disciplinska odgovornost u ovom organu se utvrđuje u skladu sa Zakonom o policijskim službenicima te kao takva nije obuhvaćena statistikom koju vodi ADS BIH, za one postupke koji su vođeni prema propisima iz njegove nadležnosti</w:t>
      </w:r>
      <w:r>
        <w:rPr>
          <w:rFonts w:asciiTheme="majorHAnsi" w:hAnsiTheme="majorHAnsi"/>
          <w:sz w:val="16"/>
          <w:szCs w:val="16"/>
          <w:lang w:val="hr-HR"/>
        </w:rPr>
        <w:t>.</w:t>
      </w:r>
    </w:p>
  </w:footnote>
  <w:footnote w:id="3">
    <w:p w14:paraId="66EBC13A" w14:textId="77777777" w:rsidR="00B3563F" w:rsidRPr="007C399C" w:rsidRDefault="00B3563F" w:rsidP="00F9072C">
      <w:pPr>
        <w:pStyle w:val="FootnoteText"/>
        <w:jc w:val="both"/>
        <w:rPr>
          <w:lang w:val="hr-HR"/>
        </w:rPr>
      </w:pPr>
      <w:r w:rsidRPr="007C399C">
        <w:rPr>
          <w:rStyle w:val="FootnoteReference"/>
          <w:rFonts w:asciiTheme="majorHAnsi" w:hAnsiTheme="majorHAnsi"/>
          <w:sz w:val="20"/>
          <w:szCs w:val="20"/>
        </w:rPr>
        <w:footnoteRef/>
      </w:r>
      <w:r w:rsidRPr="005B2DF8">
        <w:rPr>
          <w:rFonts w:asciiTheme="majorHAnsi" w:hAnsiTheme="majorHAnsi"/>
          <w:sz w:val="20"/>
          <w:szCs w:val="20"/>
          <w:lang w:val="hr-HR"/>
        </w:rPr>
        <w:t xml:space="preserve"> </w:t>
      </w:r>
      <w:r w:rsidRPr="00F9072C">
        <w:rPr>
          <w:rFonts w:asciiTheme="majorHAnsi" w:hAnsiTheme="majorHAnsi"/>
          <w:sz w:val="16"/>
          <w:szCs w:val="16"/>
          <w:lang w:val="hr-HR"/>
        </w:rPr>
        <w:t>Za potrebe istraživanja ADS je učinio dostupnim statistiku za 2014 i 2015, obzirom da još uvijek nisu javno dostupni izvještaji putem web stranice.</w:t>
      </w:r>
    </w:p>
  </w:footnote>
  <w:footnote w:id="4">
    <w:p w14:paraId="7CA6135E" w14:textId="77777777" w:rsidR="00B3563F" w:rsidRDefault="00B3563F" w:rsidP="00F9072C">
      <w:pPr>
        <w:jc w:val="both"/>
        <w:rPr>
          <w:rFonts w:asciiTheme="majorHAnsi" w:hAnsiTheme="majorHAnsi"/>
          <w:color w:val="000000" w:themeColor="text1"/>
          <w:sz w:val="16"/>
          <w:szCs w:val="16"/>
          <w:lang w:val="hr-HR"/>
        </w:rPr>
      </w:pPr>
      <w:r w:rsidRPr="004418A3">
        <w:rPr>
          <w:rStyle w:val="FootnoteReference"/>
          <w:sz w:val="16"/>
          <w:szCs w:val="16"/>
        </w:rPr>
        <w:footnoteRef/>
      </w:r>
      <w:r w:rsidRPr="004418A3">
        <w:rPr>
          <w:sz w:val="16"/>
          <w:szCs w:val="16"/>
          <w:lang w:val="hr-HR"/>
        </w:rPr>
        <w:t xml:space="preserve"> </w:t>
      </w:r>
      <w:r w:rsidRPr="004418A3">
        <w:rPr>
          <w:rFonts w:asciiTheme="majorHAnsi" w:hAnsiTheme="majorHAnsi"/>
          <w:color w:val="000000" w:themeColor="text1"/>
          <w:sz w:val="16"/>
          <w:szCs w:val="16"/>
          <w:lang w:val="hr-HR"/>
        </w:rPr>
        <w:t xml:space="preserve">Npr., TI BiH je pokrenuo tri tužbe protiv Agencije za bankarstvo u 2015. godini zbog nedostavljanja informacija, upravo iz ovog razloga, smatrajući da nije sproveden test javnog interesa i da se s obzirom na česte primjere neregularnosti u finansijskom sektoru Republike Srpske radi o informacijama spram kojih preže javnih interes, u skladu sa odredbama o javnom interesu iz važečeg  što i jeste najčešći primjer kršenja ZOSPI. </w:t>
      </w:r>
    </w:p>
    <w:p w14:paraId="7BFCD9CA" w14:textId="0A41F483" w:rsidR="00B3563F" w:rsidRPr="004418A3" w:rsidRDefault="00554976" w:rsidP="00F9072C">
      <w:pPr>
        <w:jc w:val="both"/>
        <w:rPr>
          <w:rFonts w:asciiTheme="majorHAnsi" w:hAnsiTheme="majorHAnsi"/>
          <w:sz w:val="16"/>
          <w:szCs w:val="16"/>
          <w:lang w:val="hr-HR"/>
        </w:rPr>
      </w:pPr>
      <w:hyperlink r:id="rId1" w:history="1">
        <w:r w:rsidR="00B3563F" w:rsidRPr="004418A3">
          <w:rPr>
            <w:rStyle w:val="Hyperlink"/>
            <w:rFonts w:asciiTheme="majorHAnsi" w:hAnsiTheme="majorHAnsi"/>
            <w:sz w:val="16"/>
            <w:szCs w:val="16"/>
            <w:lang w:val="hr-HR"/>
          </w:rPr>
          <w:t>http://ti-bih.org/skoro-cetvrtina-gradana-bila-u-situaciji-da-im-se-trazi-mito/</w:t>
        </w:r>
      </w:hyperlink>
    </w:p>
  </w:footnote>
  <w:footnote w:id="5">
    <w:p w14:paraId="1981A7A7" w14:textId="77777777" w:rsidR="00B3563F" w:rsidRPr="00E611EC" w:rsidRDefault="00B3563F" w:rsidP="009B4EED">
      <w:pPr>
        <w:pStyle w:val="FootnoteText"/>
        <w:rPr>
          <w:rFonts w:asciiTheme="majorHAnsi" w:hAnsiTheme="majorHAnsi"/>
          <w:sz w:val="16"/>
          <w:szCs w:val="16"/>
          <w:lang w:val="hr-HR"/>
        </w:rPr>
      </w:pPr>
      <w:r w:rsidRPr="00E611EC">
        <w:rPr>
          <w:rStyle w:val="FootnoteReference"/>
          <w:rFonts w:asciiTheme="majorHAnsi" w:hAnsiTheme="majorHAnsi"/>
          <w:sz w:val="16"/>
          <w:szCs w:val="16"/>
        </w:rPr>
        <w:footnoteRef/>
      </w:r>
      <w:r w:rsidRPr="00E611EC">
        <w:rPr>
          <w:rFonts w:asciiTheme="majorHAnsi" w:hAnsiTheme="majorHAnsi"/>
          <w:sz w:val="16"/>
          <w:szCs w:val="16"/>
          <w:lang w:val="hr-HR"/>
        </w:rPr>
        <w:t xml:space="preserve"> </w:t>
      </w:r>
      <w:hyperlink r:id="rId2" w:history="1">
        <w:r w:rsidRPr="00E611EC">
          <w:rPr>
            <w:rStyle w:val="Hyperlink"/>
            <w:rFonts w:asciiTheme="majorHAnsi" w:hAnsiTheme="majorHAnsi"/>
            <w:sz w:val="16"/>
            <w:szCs w:val="16"/>
            <w:lang w:val="hr-HR"/>
          </w:rPr>
          <w:t>http://ogp.ba/akcioni-plan/</w:t>
        </w:r>
      </w:hyperlink>
      <w:r w:rsidRPr="00E611EC">
        <w:rPr>
          <w:rFonts w:asciiTheme="majorHAnsi" w:hAnsiTheme="majorHAnsi"/>
          <w:sz w:val="16"/>
          <w:szCs w:val="16"/>
          <w:lang w:val="hr-HR"/>
        </w:rPr>
        <w:t xml:space="preserve"> </w:t>
      </w:r>
    </w:p>
  </w:footnote>
  <w:footnote w:id="6">
    <w:p w14:paraId="6CFB35E8" w14:textId="77777777" w:rsidR="00B3563F" w:rsidRPr="00E611EC" w:rsidRDefault="00B3563F" w:rsidP="004E1A5C">
      <w:pPr>
        <w:pStyle w:val="FootnoteText"/>
        <w:rPr>
          <w:rFonts w:asciiTheme="majorHAnsi" w:hAnsiTheme="majorHAnsi"/>
          <w:sz w:val="16"/>
          <w:szCs w:val="16"/>
          <w:lang w:val="bs-Latn-BA"/>
        </w:rPr>
      </w:pPr>
      <w:r w:rsidRPr="00E611EC">
        <w:rPr>
          <w:rStyle w:val="FootnoteReference"/>
          <w:rFonts w:asciiTheme="majorHAnsi" w:hAnsiTheme="majorHAnsi"/>
          <w:sz w:val="16"/>
          <w:szCs w:val="16"/>
        </w:rPr>
        <w:footnoteRef/>
      </w:r>
      <w:r w:rsidRPr="00E611EC">
        <w:rPr>
          <w:rFonts w:asciiTheme="majorHAnsi" w:hAnsiTheme="majorHAnsi"/>
          <w:sz w:val="16"/>
          <w:szCs w:val="16"/>
          <w:lang w:val="hr-HR"/>
        </w:rPr>
        <w:t xml:space="preserve"> Ured za reviziju institucija u FBiH,</w:t>
      </w:r>
      <w:r w:rsidRPr="00E611EC">
        <w:rPr>
          <w:rFonts w:asciiTheme="majorHAnsi" w:hAnsiTheme="majorHAnsi"/>
          <w:b/>
          <w:bCs/>
          <w:sz w:val="16"/>
          <w:szCs w:val="16"/>
          <w:lang w:val="hr-HR"/>
        </w:rPr>
        <w:t xml:space="preserve"> </w:t>
      </w:r>
      <w:r w:rsidRPr="00E611EC">
        <w:rPr>
          <w:rFonts w:asciiTheme="majorHAnsi" w:hAnsiTheme="majorHAnsi"/>
          <w:i/>
          <w:sz w:val="16"/>
          <w:szCs w:val="16"/>
          <w:lang w:val="hr-HR"/>
        </w:rPr>
        <w:t>Izvještaj o reviziji finansijskih izvještaja Federalnog ministarstva pravde na dan 31.12.2014. godine</w:t>
      </w:r>
      <w:r w:rsidRPr="00E611EC">
        <w:rPr>
          <w:rFonts w:asciiTheme="majorHAnsi" w:hAnsiTheme="majorHAnsi"/>
          <w:sz w:val="16"/>
          <w:szCs w:val="16"/>
          <w:lang w:val="hr-HR"/>
        </w:rPr>
        <w:t>, Broj: 03-11/15, april 2015. godine</w:t>
      </w:r>
    </w:p>
  </w:footnote>
  <w:footnote w:id="7">
    <w:p w14:paraId="2A11EB19" w14:textId="77777777" w:rsidR="00B3563F" w:rsidRPr="006803B6" w:rsidRDefault="00B3563F" w:rsidP="00BA73CC">
      <w:pPr>
        <w:jc w:val="both"/>
        <w:rPr>
          <w:rFonts w:asciiTheme="majorHAnsi" w:hAnsiTheme="majorHAnsi"/>
          <w:sz w:val="16"/>
          <w:szCs w:val="16"/>
          <w:lang w:val="bs-Latn-BA"/>
        </w:rPr>
      </w:pPr>
      <w:r w:rsidRPr="006803B6">
        <w:rPr>
          <w:rStyle w:val="FootnoteReference"/>
          <w:rFonts w:asciiTheme="majorHAnsi" w:hAnsiTheme="majorHAnsi"/>
          <w:sz w:val="16"/>
          <w:szCs w:val="16"/>
        </w:rPr>
        <w:footnoteRef/>
      </w:r>
      <w:r w:rsidRPr="006803B6">
        <w:rPr>
          <w:rFonts w:asciiTheme="majorHAnsi" w:hAnsiTheme="majorHAnsi"/>
          <w:sz w:val="16"/>
          <w:szCs w:val="16"/>
          <w:lang w:val="bs-Latn-BA"/>
        </w:rPr>
        <w:t xml:space="preserve"> Ured za reviziju institucija u FBiH,</w:t>
      </w:r>
      <w:r w:rsidRPr="006803B6">
        <w:rPr>
          <w:rFonts w:asciiTheme="majorHAnsi" w:hAnsiTheme="majorHAnsi"/>
          <w:b/>
          <w:bCs/>
          <w:sz w:val="16"/>
          <w:szCs w:val="16"/>
          <w:lang w:val="bs-Latn-BA"/>
        </w:rPr>
        <w:t xml:space="preserve"> </w:t>
      </w:r>
      <w:r w:rsidRPr="006803B6">
        <w:rPr>
          <w:rFonts w:asciiTheme="majorHAnsi" w:hAnsiTheme="majorHAnsi"/>
          <w:i/>
          <w:sz w:val="16"/>
          <w:szCs w:val="16"/>
          <w:lang w:val="bs-Latn-BA"/>
        </w:rPr>
        <w:t>Izvještaj o reviziji finansijskih izvještaja Federalnog ministarstva pravde na dan 31.12.2014. godine</w:t>
      </w:r>
      <w:r w:rsidRPr="006803B6">
        <w:rPr>
          <w:rFonts w:asciiTheme="majorHAnsi" w:hAnsiTheme="majorHAnsi"/>
          <w:sz w:val="16"/>
          <w:szCs w:val="16"/>
          <w:lang w:val="bs-Latn-BA"/>
        </w:rPr>
        <w:t>, Broj: 03-11/15, april 2015. godine; Ured za reviziju institucija u FBiH,</w:t>
      </w:r>
      <w:r w:rsidRPr="006803B6">
        <w:rPr>
          <w:rFonts w:asciiTheme="majorHAnsi" w:hAnsiTheme="majorHAnsi"/>
          <w:b/>
          <w:bCs/>
          <w:sz w:val="16"/>
          <w:szCs w:val="16"/>
          <w:lang w:val="bs-Latn-BA"/>
        </w:rPr>
        <w:t xml:space="preserve"> </w:t>
      </w:r>
      <w:r w:rsidRPr="006803B6">
        <w:rPr>
          <w:rFonts w:asciiTheme="majorHAnsi" w:hAnsiTheme="majorHAnsi"/>
          <w:i/>
          <w:sz w:val="16"/>
          <w:szCs w:val="16"/>
          <w:lang w:val="bs-Latn-BA"/>
        </w:rPr>
        <w:t>Izvještaj o reviziji finansijskih izvještaja Federalnog ministarstva prostornog uređenja na dan 31.12.2014. godine</w:t>
      </w:r>
      <w:r w:rsidRPr="006803B6">
        <w:rPr>
          <w:rFonts w:asciiTheme="majorHAnsi" w:hAnsiTheme="majorHAnsi"/>
          <w:sz w:val="16"/>
          <w:szCs w:val="16"/>
          <w:lang w:val="bs-Latn-BA"/>
        </w:rPr>
        <w:t>, Broj: 03-17/15, mart 2015. godine</w:t>
      </w:r>
    </w:p>
  </w:footnote>
  <w:footnote w:id="8">
    <w:p w14:paraId="7EAF013C" w14:textId="5B06D4A4" w:rsidR="00B3563F" w:rsidRPr="006803B6" w:rsidRDefault="00B3563F" w:rsidP="00BA73CC">
      <w:pPr>
        <w:pStyle w:val="FootnoteText"/>
        <w:jc w:val="both"/>
        <w:rPr>
          <w:rFonts w:asciiTheme="majorHAnsi" w:hAnsiTheme="majorHAnsi"/>
          <w:sz w:val="16"/>
          <w:szCs w:val="16"/>
          <w:lang w:val="de-DE"/>
        </w:rPr>
      </w:pPr>
      <w:r w:rsidRPr="006803B6">
        <w:rPr>
          <w:rStyle w:val="FootnoteReference"/>
          <w:rFonts w:asciiTheme="majorHAnsi" w:hAnsiTheme="majorHAnsi"/>
          <w:sz w:val="16"/>
          <w:szCs w:val="16"/>
        </w:rPr>
        <w:footnoteRef/>
      </w:r>
      <w:r w:rsidR="00BA73CC">
        <w:rPr>
          <w:rFonts w:asciiTheme="majorHAnsi" w:hAnsiTheme="majorHAnsi"/>
          <w:sz w:val="16"/>
          <w:szCs w:val="16"/>
          <w:lang w:val="bs-Latn-BA"/>
        </w:rPr>
        <w:t xml:space="preserve">Izvještaj </w:t>
      </w:r>
      <w:r w:rsidRPr="006803B6">
        <w:rPr>
          <w:rFonts w:asciiTheme="majorHAnsi" w:hAnsiTheme="majorHAnsi"/>
          <w:sz w:val="16"/>
          <w:szCs w:val="16"/>
          <w:lang w:val="bs-Latn-BA"/>
        </w:rPr>
        <w:t>revizije učinka Zapošljavanje u javnoj upravi Glavne službe za reviziju javnog sektora Republike Srpske za period 2011-2013</w:t>
      </w:r>
      <w:r w:rsidR="00BA73CC">
        <w:rPr>
          <w:rFonts w:asciiTheme="majorHAnsi" w:hAnsiTheme="majorHAnsi"/>
          <w:sz w:val="16"/>
          <w:szCs w:val="16"/>
          <w:lang w:val="bs-Latn-BA"/>
        </w:rPr>
        <w:t xml:space="preserve">, Banjaluka, juli 2014. godine, </w:t>
      </w:r>
      <w:r w:rsidR="00BA73CC" w:rsidRPr="006803B6">
        <w:rPr>
          <w:rFonts w:asciiTheme="majorHAnsi" w:hAnsiTheme="majorHAnsi"/>
          <w:sz w:val="16"/>
          <w:szCs w:val="16"/>
          <w:lang w:val="bs-Latn-BA"/>
        </w:rPr>
        <w:t>str. 16</w:t>
      </w:r>
      <w:r w:rsidR="00BA73CC">
        <w:rPr>
          <w:rFonts w:asciiTheme="majorHAnsi" w:hAnsiTheme="majorHAnsi"/>
          <w:sz w:val="16"/>
          <w:szCs w:val="16"/>
          <w:lang w:val="bs-Latn-BA"/>
        </w:rPr>
        <w:t xml:space="preserve"> </w:t>
      </w:r>
      <w:hyperlink r:id="rId3" w:history="1">
        <w:r w:rsidRPr="006803B6">
          <w:rPr>
            <w:rStyle w:val="Hyperlink"/>
            <w:rFonts w:asciiTheme="majorHAnsi" w:hAnsiTheme="majorHAnsi"/>
            <w:sz w:val="16"/>
            <w:szCs w:val="16"/>
            <w:lang w:val="de-DE"/>
          </w:rPr>
          <w:t>http://www.gsr-rs.org/static/uploads/report_attachments/2014/07/29/RU003-13_Cyr.pdf</w:t>
        </w:r>
      </w:hyperlink>
      <w:r w:rsidRPr="006803B6">
        <w:rPr>
          <w:rFonts w:asciiTheme="majorHAnsi" w:hAnsiTheme="majorHAnsi"/>
          <w:sz w:val="16"/>
          <w:szCs w:val="16"/>
          <w:lang w:val="de-DE"/>
        </w:rPr>
        <w:t xml:space="preserve"> (datum pristupanja 05.02.2016. godine)</w:t>
      </w:r>
      <w:r w:rsidR="00BA73CC">
        <w:rPr>
          <w:rFonts w:asciiTheme="majorHAnsi" w:hAnsiTheme="majorHAnsi"/>
          <w:sz w:val="16"/>
          <w:szCs w:val="16"/>
          <w:lang w:val="bs-Latn-BA"/>
        </w:rPr>
        <w:t xml:space="preserve"> </w:t>
      </w:r>
    </w:p>
  </w:footnote>
  <w:footnote w:id="9">
    <w:p w14:paraId="1ACF46B2" w14:textId="77777777" w:rsidR="00B3563F" w:rsidRPr="006803B6" w:rsidRDefault="00B3563F" w:rsidP="00BA73CC">
      <w:pPr>
        <w:pStyle w:val="FootnoteText"/>
        <w:jc w:val="both"/>
        <w:rPr>
          <w:rFonts w:asciiTheme="majorHAnsi" w:hAnsiTheme="majorHAnsi"/>
          <w:sz w:val="16"/>
          <w:szCs w:val="16"/>
        </w:rPr>
      </w:pPr>
      <w:r w:rsidRPr="006803B6">
        <w:rPr>
          <w:rStyle w:val="FootnoteReference"/>
          <w:rFonts w:asciiTheme="majorHAnsi" w:hAnsiTheme="majorHAnsi"/>
          <w:sz w:val="16"/>
          <w:szCs w:val="16"/>
        </w:rPr>
        <w:footnoteRef/>
      </w:r>
      <w:r w:rsidRPr="006803B6">
        <w:rPr>
          <w:rFonts w:asciiTheme="majorHAnsi" w:hAnsiTheme="majorHAnsi"/>
          <w:sz w:val="16"/>
          <w:szCs w:val="16"/>
        </w:rPr>
        <w:t xml:space="preserve"> Ibid, str.21 i 22.</w:t>
      </w:r>
    </w:p>
  </w:footnote>
  <w:footnote w:id="10">
    <w:p w14:paraId="1CD7E3B9" w14:textId="77777777" w:rsidR="00B3563F" w:rsidRDefault="00B3563F" w:rsidP="00BA73CC">
      <w:pPr>
        <w:pStyle w:val="FootnoteText"/>
        <w:jc w:val="both"/>
      </w:pPr>
      <w:r w:rsidRPr="006803B6">
        <w:rPr>
          <w:rStyle w:val="FootnoteReference"/>
          <w:rFonts w:asciiTheme="majorHAnsi" w:hAnsiTheme="majorHAnsi"/>
          <w:sz w:val="16"/>
          <w:szCs w:val="16"/>
        </w:rPr>
        <w:footnoteRef/>
      </w:r>
      <w:r w:rsidRPr="006803B6">
        <w:rPr>
          <w:rFonts w:asciiTheme="majorHAnsi" w:hAnsiTheme="majorHAnsi"/>
          <w:sz w:val="16"/>
          <w:szCs w:val="16"/>
        </w:rPr>
        <w:t xml:space="preserve"> Ibid, str. 24.</w:t>
      </w:r>
    </w:p>
  </w:footnote>
  <w:footnote w:id="11">
    <w:p w14:paraId="2147E782" w14:textId="428A44AE" w:rsidR="00B3563F" w:rsidRPr="00473FA9" w:rsidRDefault="00B3563F" w:rsidP="00473FA9">
      <w:pPr>
        <w:pStyle w:val="FootnoteText"/>
        <w:jc w:val="both"/>
        <w:rPr>
          <w:rFonts w:asciiTheme="majorHAnsi" w:hAnsiTheme="majorHAnsi"/>
          <w:sz w:val="16"/>
          <w:szCs w:val="16"/>
        </w:rPr>
      </w:pPr>
      <w:r w:rsidRPr="00473FA9">
        <w:rPr>
          <w:rStyle w:val="FootnoteReference"/>
          <w:rFonts w:asciiTheme="majorHAnsi" w:hAnsiTheme="majorHAnsi"/>
          <w:sz w:val="16"/>
          <w:szCs w:val="16"/>
        </w:rPr>
        <w:footnoteRef/>
      </w:r>
      <w:r w:rsidRPr="00473FA9">
        <w:rPr>
          <w:rFonts w:asciiTheme="majorHAnsi" w:hAnsiTheme="majorHAnsi"/>
          <w:sz w:val="16"/>
          <w:szCs w:val="16"/>
        </w:rPr>
        <w:t xml:space="preserve"> </w:t>
      </w:r>
      <w:r w:rsidRPr="00200D86">
        <w:rPr>
          <w:rFonts w:asciiTheme="majorHAnsi" w:hAnsiTheme="majorHAnsi"/>
          <w:i/>
          <w:sz w:val="16"/>
          <w:szCs w:val="16"/>
          <w:lang w:val="bs-Latn-BA"/>
        </w:rPr>
        <w:t>Izvještaj revizije učinka Zapošljavanje u javnoj upravi Glavne službe za reviziju javnog sektora Republike Srpske za period 2011-2013</w:t>
      </w:r>
      <w:r w:rsidRPr="006803B6">
        <w:rPr>
          <w:rFonts w:asciiTheme="majorHAnsi" w:hAnsiTheme="majorHAnsi"/>
          <w:sz w:val="16"/>
          <w:szCs w:val="16"/>
          <w:lang w:val="bs-Latn-BA"/>
        </w:rPr>
        <w:t xml:space="preserve">, Banjaluka, juli 2014. godine. </w:t>
      </w:r>
      <w:hyperlink r:id="rId4" w:history="1">
        <w:r w:rsidRPr="006803B6">
          <w:rPr>
            <w:rStyle w:val="Hyperlink"/>
            <w:rFonts w:asciiTheme="majorHAnsi" w:hAnsiTheme="majorHAnsi"/>
            <w:sz w:val="16"/>
            <w:szCs w:val="16"/>
            <w:lang w:val="de-DE"/>
          </w:rPr>
          <w:t>http://www.gsr-rs.org/static/uploads/report_attachments/2014/07/29/RU003-13_Cyr.pdf</w:t>
        </w:r>
      </w:hyperlink>
      <w:r w:rsidRPr="006803B6">
        <w:rPr>
          <w:rFonts w:asciiTheme="majorHAnsi" w:hAnsiTheme="majorHAnsi"/>
          <w:sz w:val="16"/>
          <w:szCs w:val="16"/>
          <w:lang w:val="de-DE"/>
        </w:rPr>
        <w:t xml:space="preserve"> (datum pristupanja 05.02.2016. godine)</w:t>
      </w:r>
      <w:r w:rsidRPr="00473FA9">
        <w:rPr>
          <w:rFonts w:asciiTheme="majorHAnsi" w:hAnsiTheme="majorHAnsi"/>
          <w:sz w:val="16"/>
          <w:szCs w:val="16"/>
        </w:rPr>
        <w:t xml:space="preserve">, str. 34. </w:t>
      </w:r>
    </w:p>
  </w:footnote>
  <w:footnote w:id="12">
    <w:p w14:paraId="751ADF42" w14:textId="77777777" w:rsidR="00B3563F" w:rsidRPr="001658EC" w:rsidRDefault="00B3563F" w:rsidP="00473FA9">
      <w:pPr>
        <w:pStyle w:val="FootnoteText"/>
        <w:jc w:val="both"/>
        <w:rPr>
          <w:lang w:val="bs-Latn-BA"/>
        </w:rPr>
      </w:pPr>
      <w:r w:rsidRPr="00473FA9">
        <w:rPr>
          <w:rStyle w:val="FootnoteReference"/>
          <w:rFonts w:asciiTheme="majorHAnsi" w:hAnsiTheme="majorHAnsi"/>
          <w:sz w:val="16"/>
          <w:szCs w:val="16"/>
        </w:rPr>
        <w:footnoteRef/>
      </w:r>
      <w:r w:rsidRPr="00473FA9">
        <w:rPr>
          <w:rFonts w:asciiTheme="majorHAnsi" w:hAnsiTheme="majorHAnsi"/>
          <w:sz w:val="16"/>
          <w:szCs w:val="16"/>
          <w:lang w:val="bs-Latn-BA"/>
        </w:rPr>
        <w:t xml:space="preserve"> Ured za reviziju institucija u FBiH,</w:t>
      </w:r>
      <w:r w:rsidRPr="00473FA9">
        <w:rPr>
          <w:rFonts w:asciiTheme="majorHAnsi" w:hAnsiTheme="majorHAnsi"/>
          <w:b/>
          <w:bCs/>
          <w:sz w:val="16"/>
          <w:szCs w:val="16"/>
          <w:lang w:val="bs-Latn-BA"/>
        </w:rPr>
        <w:t xml:space="preserve"> </w:t>
      </w:r>
      <w:r w:rsidRPr="00473FA9">
        <w:rPr>
          <w:rFonts w:asciiTheme="majorHAnsi" w:hAnsiTheme="majorHAnsi"/>
          <w:i/>
          <w:sz w:val="16"/>
          <w:szCs w:val="16"/>
          <w:lang w:val="bs-Latn-BA"/>
        </w:rPr>
        <w:t>Izvještaj o reviziji finansijskih izvještaja Federalne direkcije robnih rezervi na dan 31.12.2014. godine</w:t>
      </w:r>
      <w:r w:rsidRPr="00473FA9">
        <w:rPr>
          <w:rFonts w:asciiTheme="majorHAnsi" w:hAnsiTheme="majorHAnsi"/>
          <w:sz w:val="16"/>
          <w:szCs w:val="16"/>
          <w:lang w:val="bs-Latn-BA"/>
        </w:rPr>
        <w:t>, Broj: 03-31/15, april 2015. godine</w:t>
      </w:r>
    </w:p>
  </w:footnote>
  <w:footnote w:id="13">
    <w:p w14:paraId="22F3ED8D" w14:textId="77777777" w:rsidR="00B3563F" w:rsidRPr="00EF0F68" w:rsidRDefault="00B3563F" w:rsidP="00332E34">
      <w:pPr>
        <w:pStyle w:val="FootnoteText"/>
        <w:jc w:val="both"/>
        <w:rPr>
          <w:rFonts w:asciiTheme="majorHAnsi" w:hAnsiTheme="majorHAnsi"/>
          <w:sz w:val="16"/>
          <w:szCs w:val="16"/>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Ured za reviziju institucija u FBiH,</w:t>
      </w:r>
      <w:r w:rsidRPr="00EF0F68">
        <w:rPr>
          <w:rFonts w:asciiTheme="majorHAnsi" w:hAnsiTheme="majorHAnsi"/>
          <w:b/>
          <w:bCs/>
          <w:sz w:val="16"/>
          <w:szCs w:val="16"/>
          <w:lang w:val="bs-Latn-BA"/>
        </w:rPr>
        <w:t xml:space="preserve"> </w:t>
      </w:r>
      <w:r w:rsidRPr="00EF0F68">
        <w:rPr>
          <w:rFonts w:asciiTheme="majorHAnsi" w:hAnsiTheme="majorHAnsi"/>
          <w:i/>
          <w:sz w:val="16"/>
          <w:szCs w:val="16"/>
          <w:lang w:val="bs-Latn-BA"/>
        </w:rPr>
        <w:t>Izvještaj o reviziji finansijskih izvještaja Federalne direkcije robnih rezervi na dan 31.12.2014. godine</w:t>
      </w:r>
      <w:r w:rsidRPr="00EF0F68">
        <w:rPr>
          <w:rFonts w:asciiTheme="majorHAnsi" w:hAnsiTheme="majorHAnsi"/>
          <w:sz w:val="16"/>
          <w:szCs w:val="16"/>
          <w:lang w:val="bs-Latn-BA"/>
        </w:rPr>
        <w:t>, Broj: 03-31/15, april 2015. godine</w:t>
      </w:r>
    </w:p>
  </w:footnote>
  <w:footnote w:id="14">
    <w:p w14:paraId="02ECF665" w14:textId="77777777" w:rsidR="00B3563F" w:rsidRPr="00EF0F68" w:rsidRDefault="00B3563F" w:rsidP="00332E34">
      <w:pPr>
        <w:tabs>
          <w:tab w:val="left" w:pos="6600"/>
        </w:tabs>
        <w:jc w:val="both"/>
        <w:rPr>
          <w:rFonts w:asciiTheme="majorHAnsi" w:hAnsiTheme="majorHAnsi"/>
          <w:sz w:val="16"/>
          <w:szCs w:val="16"/>
          <w:highlight w:val="yellow"/>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Ured za reviziju institucija u FBiH,</w:t>
      </w:r>
      <w:r w:rsidRPr="00EF0F68">
        <w:rPr>
          <w:rFonts w:asciiTheme="majorHAnsi" w:hAnsiTheme="majorHAnsi"/>
          <w:b/>
          <w:bCs/>
          <w:sz w:val="16"/>
          <w:szCs w:val="16"/>
          <w:lang w:val="bs-Latn-BA"/>
        </w:rPr>
        <w:t xml:space="preserve"> </w:t>
      </w:r>
      <w:r w:rsidRPr="00EF0F68">
        <w:rPr>
          <w:rFonts w:asciiTheme="majorHAnsi" w:hAnsiTheme="majorHAnsi"/>
          <w:i/>
          <w:sz w:val="16"/>
          <w:szCs w:val="16"/>
          <w:lang w:val="bs-Latn-BA"/>
        </w:rPr>
        <w:t>Izvještaj o reviziji finansijskih izvještaja Federalnog ministarstva pravde na dan 31.12.2014. godine</w:t>
      </w:r>
      <w:r w:rsidRPr="00EF0F68">
        <w:rPr>
          <w:rFonts w:asciiTheme="majorHAnsi" w:hAnsiTheme="majorHAnsi"/>
          <w:sz w:val="16"/>
          <w:szCs w:val="16"/>
          <w:lang w:val="bs-Latn-BA"/>
        </w:rPr>
        <w:t>, Broj: 03-11/15, april 2015. godine</w:t>
      </w:r>
    </w:p>
  </w:footnote>
  <w:footnote w:id="15">
    <w:p w14:paraId="57B52EB2" w14:textId="77777777" w:rsidR="00B3563F" w:rsidRPr="00EF0F68" w:rsidRDefault="00B3563F" w:rsidP="00332E34">
      <w:pPr>
        <w:tabs>
          <w:tab w:val="left" w:pos="6600"/>
        </w:tabs>
        <w:jc w:val="both"/>
        <w:rPr>
          <w:rFonts w:asciiTheme="majorHAnsi" w:hAnsiTheme="majorHAnsi"/>
          <w:sz w:val="16"/>
          <w:szCs w:val="16"/>
          <w:highlight w:val="yellow"/>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Ured za reviziju institucija u FBiH,</w:t>
      </w:r>
      <w:r w:rsidRPr="00EF0F68">
        <w:rPr>
          <w:rFonts w:asciiTheme="majorHAnsi" w:hAnsiTheme="majorHAnsi"/>
          <w:b/>
          <w:bCs/>
          <w:sz w:val="16"/>
          <w:szCs w:val="16"/>
          <w:lang w:val="bs-Latn-BA"/>
        </w:rPr>
        <w:t xml:space="preserve"> </w:t>
      </w:r>
      <w:r w:rsidRPr="00EF0F68">
        <w:rPr>
          <w:rFonts w:asciiTheme="majorHAnsi" w:hAnsiTheme="majorHAnsi"/>
          <w:i/>
          <w:sz w:val="16"/>
          <w:szCs w:val="16"/>
          <w:lang w:val="bs-Latn-BA"/>
        </w:rPr>
        <w:t>Izvještaj o reviziji finansijskih izvještaja Federalnog ministarstva pravde na dan 31.12.2014. godine</w:t>
      </w:r>
      <w:r w:rsidRPr="00EF0F68">
        <w:rPr>
          <w:rFonts w:asciiTheme="majorHAnsi" w:hAnsiTheme="majorHAnsi"/>
          <w:sz w:val="16"/>
          <w:szCs w:val="16"/>
          <w:lang w:val="bs-Latn-BA"/>
        </w:rPr>
        <w:t>, Broj: 03-11/15, april 2015. godine</w:t>
      </w:r>
    </w:p>
  </w:footnote>
  <w:footnote w:id="16">
    <w:p w14:paraId="5CCD50BC" w14:textId="40B9B658" w:rsidR="00B3563F" w:rsidRPr="00EF0F68" w:rsidRDefault="00B3563F" w:rsidP="00332E34">
      <w:pPr>
        <w:tabs>
          <w:tab w:val="left" w:pos="6600"/>
        </w:tabs>
        <w:jc w:val="both"/>
        <w:rPr>
          <w:rFonts w:asciiTheme="majorHAnsi" w:hAnsiTheme="majorHAnsi"/>
          <w:sz w:val="16"/>
          <w:szCs w:val="16"/>
          <w:highlight w:val="yellow"/>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w:t>
      </w:r>
      <w:r>
        <w:rPr>
          <w:rFonts w:asciiTheme="majorHAnsi" w:hAnsiTheme="majorHAnsi"/>
          <w:sz w:val="16"/>
          <w:szCs w:val="16"/>
          <w:lang w:val="bs-Latn-BA"/>
        </w:rPr>
        <w:t>Ibid.</w:t>
      </w:r>
    </w:p>
  </w:footnote>
  <w:footnote w:id="17">
    <w:p w14:paraId="4B9F269F" w14:textId="04FA6658" w:rsidR="00B3563F" w:rsidRPr="00EF0F68" w:rsidRDefault="00B3563F" w:rsidP="00332E34">
      <w:pPr>
        <w:tabs>
          <w:tab w:val="left" w:pos="6600"/>
        </w:tabs>
        <w:jc w:val="both"/>
        <w:rPr>
          <w:rFonts w:asciiTheme="majorHAnsi" w:hAnsiTheme="majorHAnsi"/>
          <w:sz w:val="16"/>
          <w:szCs w:val="16"/>
          <w:highlight w:val="yellow"/>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w:t>
      </w:r>
      <w:r>
        <w:rPr>
          <w:rFonts w:asciiTheme="majorHAnsi" w:hAnsiTheme="majorHAnsi"/>
          <w:sz w:val="16"/>
          <w:szCs w:val="16"/>
          <w:lang w:val="bs-Latn-BA"/>
        </w:rPr>
        <w:t>Ibid.</w:t>
      </w:r>
    </w:p>
  </w:footnote>
  <w:footnote w:id="18">
    <w:p w14:paraId="339971F0" w14:textId="77777777" w:rsidR="00B3563F" w:rsidRPr="00EF0F68" w:rsidRDefault="00B3563F" w:rsidP="00332E34">
      <w:pPr>
        <w:tabs>
          <w:tab w:val="left" w:pos="6600"/>
        </w:tabs>
        <w:jc w:val="both"/>
        <w:rPr>
          <w:rFonts w:asciiTheme="majorHAnsi" w:hAnsiTheme="majorHAnsi"/>
          <w:sz w:val="16"/>
          <w:szCs w:val="16"/>
          <w:highlight w:val="yellow"/>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Ured za reviziju institucija u FBiH,</w:t>
      </w:r>
      <w:r w:rsidRPr="00EF0F68">
        <w:rPr>
          <w:rFonts w:asciiTheme="majorHAnsi" w:hAnsiTheme="majorHAnsi"/>
          <w:b/>
          <w:bCs/>
          <w:sz w:val="16"/>
          <w:szCs w:val="16"/>
          <w:lang w:val="bs-Latn-BA"/>
        </w:rPr>
        <w:t xml:space="preserve"> </w:t>
      </w:r>
      <w:r w:rsidRPr="00EF0F68">
        <w:rPr>
          <w:rFonts w:asciiTheme="majorHAnsi" w:hAnsiTheme="majorHAnsi"/>
          <w:i/>
          <w:sz w:val="16"/>
          <w:szCs w:val="16"/>
          <w:lang w:val="bs-Latn-BA"/>
        </w:rPr>
        <w:t>Izvještaj o reviziji finansijskih izvještaja Federalnog ministarstva prostornog uređenja na dan 31.12.2014. godine</w:t>
      </w:r>
      <w:r w:rsidRPr="00EF0F68">
        <w:rPr>
          <w:rFonts w:asciiTheme="majorHAnsi" w:hAnsiTheme="majorHAnsi"/>
          <w:sz w:val="16"/>
          <w:szCs w:val="16"/>
          <w:lang w:val="bs-Latn-BA"/>
        </w:rPr>
        <w:t>, Broj: 03-17/15, mart 2015. godine</w:t>
      </w:r>
    </w:p>
  </w:footnote>
  <w:footnote w:id="19">
    <w:p w14:paraId="1F7607F5" w14:textId="77777777" w:rsidR="00B3563F" w:rsidRPr="00EF0F68" w:rsidRDefault="00B3563F" w:rsidP="00332E34">
      <w:pPr>
        <w:pStyle w:val="FootnoteText"/>
        <w:jc w:val="both"/>
        <w:rPr>
          <w:rFonts w:asciiTheme="majorHAnsi" w:hAnsiTheme="majorHAnsi"/>
          <w:sz w:val="16"/>
          <w:szCs w:val="16"/>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Glavna služba za reviziju javnog sektora RS, </w:t>
      </w:r>
      <w:r w:rsidRPr="00EF0F68">
        <w:rPr>
          <w:rFonts w:asciiTheme="majorHAnsi" w:hAnsiTheme="majorHAnsi"/>
          <w:i/>
          <w:sz w:val="16"/>
          <w:szCs w:val="16"/>
          <w:lang w:val="bs-Latn-BA"/>
        </w:rPr>
        <w:t>Izvješaj o reviziji zbirnih finansijskih izvještaja Ministarstva pravde Republike Srpske za period 01.01-31.12.2014. g., broj RV005-15</w:t>
      </w:r>
      <w:r w:rsidRPr="00EF0F68">
        <w:rPr>
          <w:rFonts w:asciiTheme="majorHAnsi" w:hAnsiTheme="majorHAnsi"/>
          <w:sz w:val="16"/>
          <w:szCs w:val="16"/>
          <w:lang w:val="bs-Latn-BA"/>
        </w:rPr>
        <w:t xml:space="preserve">, jun 2015. </w:t>
      </w:r>
    </w:p>
  </w:footnote>
  <w:footnote w:id="20">
    <w:p w14:paraId="0E1C10D5" w14:textId="77777777" w:rsidR="00B3563F" w:rsidRPr="005B2DF8" w:rsidRDefault="00B3563F" w:rsidP="00332E34">
      <w:pPr>
        <w:pStyle w:val="FootnoteText"/>
        <w:jc w:val="both"/>
        <w:rPr>
          <w:rFonts w:ascii="Calibri" w:hAnsi="Calibri"/>
          <w:sz w:val="20"/>
          <w:szCs w:val="20"/>
          <w:lang w:val="bs-Latn-BA"/>
        </w:rPr>
      </w:pPr>
      <w:r w:rsidRPr="00EF0F68">
        <w:rPr>
          <w:rStyle w:val="FootnoteReference"/>
          <w:rFonts w:asciiTheme="majorHAnsi" w:hAnsiTheme="majorHAnsi"/>
          <w:sz w:val="16"/>
          <w:szCs w:val="16"/>
        </w:rPr>
        <w:footnoteRef/>
      </w:r>
      <w:r w:rsidRPr="00EF0F68">
        <w:rPr>
          <w:rFonts w:asciiTheme="majorHAnsi" w:hAnsiTheme="majorHAnsi"/>
          <w:sz w:val="16"/>
          <w:szCs w:val="16"/>
          <w:lang w:val="bs-Latn-BA"/>
        </w:rPr>
        <w:t xml:space="preserve"> Glavna služba za reviziju javnog sektora RS, </w:t>
      </w:r>
      <w:r w:rsidRPr="00EF0F68">
        <w:rPr>
          <w:rFonts w:asciiTheme="majorHAnsi" w:hAnsiTheme="majorHAnsi"/>
          <w:i/>
          <w:sz w:val="16"/>
          <w:szCs w:val="16"/>
          <w:lang w:val="bs-Latn-BA"/>
        </w:rPr>
        <w:t>Izvještaj o reviziji finansijskih izvještaja Ministarstva zdravlja i socijalne zaštite Republike Srpske za period 01.01 – 31.12.2014. godine broj: RV027-15</w:t>
      </w:r>
      <w:r w:rsidRPr="00EF0F68">
        <w:rPr>
          <w:rFonts w:asciiTheme="majorHAnsi" w:hAnsiTheme="majorHAnsi"/>
          <w:sz w:val="16"/>
          <w:szCs w:val="16"/>
          <w:lang w:val="bs-Latn-BA"/>
        </w:rPr>
        <w:t>, mart 2015.</w:t>
      </w:r>
      <w:r w:rsidRPr="005B2DF8">
        <w:rPr>
          <w:rFonts w:ascii="Calibri" w:hAnsi="Calibri"/>
          <w:sz w:val="20"/>
          <w:szCs w:val="20"/>
          <w:lang w:val="bs-Latn-BA"/>
        </w:rPr>
        <w:t xml:space="preserve"> </w:t>
      </w:r>
    </w:p>
  </w:footnote>
  <w:footnote w:id="21">
    <w:p w14:paraId="65BE7226" w14:textId="77777777" w:rsidR="00B3563F" w:rsidRPr="00EF0F68" w:rsidRDefault="00B3563F" w:rsidP="00332E34">
      <w:pPr>
        <w:pStyle w:val="FootnoteText"/>
        <w:jc w:val="both"/>
        <w:rPr>
          <w:rFonts w:ascii="Calibri" w:hAnsi="Calibri"/>
          <w:sz w:val="16"/>
          <w:szCs w:val="16"/>
          <w:lang w:val="bs-Latn-BA"/>
        </w:rPr>
      </w:pPr>
      <w:r w:rsidRPr="00EF0F68">
        <w:rPr>
          <w:rStyle w:val="FootnoteReference"/>
          <w:rFonts w:ascii="Calibri" w:hAnsi="Calibri"/>
          <w:sz w:val="16"/>
          <w:szCs w:val="16"/>
        </w:rPr>
        <w:footnoteRef/>
      </w:r>
      <w:r w:rsidRPr="00EF0F68">
        <w:rPr>
          <w:rFonts w:ascii="Calibri" w:hAnsi="Calibri"/>
          <w:sz w:val="16"/>
          <w:szCs w:val="16"/>
          <w:lang w:val="bs-Latn-BA"/>
        </w:rPr>
        <w:t xml:space="preserve"> Ibid. </w:t>
      </w:r>
    </w:p>
  </w:footnote>
  <w:footnote w:id="22">
    <w:p w14:paraId="562E138A" w14:textId="77777777" w:rsidR="00B3563F" w:rsidRPr="00EF0F68" w:rsidRDefault="00B3563F" w:rsidP="00332E34">
      <w:pPr>
        <w:pStyle w:val="FootnoteText"/>
        <w:jc w:val="both"/>
        <w:rPr>
          <w:rFonts w:ascii="Calibri" w:hAnsi="Calibri"/>
          <w:sz w:val="16"/>
          <w:szCs w:val="16"/>
          <w:lang w:val="bs-Latn-BA"/>
        </w:rPr>
      </w:pPr>
      <w:r w:rsidRPr="00EF0F68">
        <w:rPr>
          <w:rStyle w:val="FootnoteReference"/>
          <w:rFonts w:ascii="Calibri" w:hAnsi="Calibri"/>
          <w:sz w:val="16"/>
          <w:szCs w:val="16"/>
        </w:rPr>
        <w:footnoteRef/>
      </w:r>
      <w:r w:rsidRPr="00EF0F68">
        <w:rPr>
          <w:rFonts w:ascii="Calibri" w:hAnsi="Calibri"/>
          <w:sz w:val="16"/>
          <w:szCs w:val="16"/>
          <w:lang w:val="bs-Latn-BA"/>
        </w:rPr>
        <w:t xml:space="preserve"> Ibid.</w:t>
      </w:r>
    </w:p>
  </w:footnote>
  <w:footnote w:id="23">
    <w:p w14:paraId="40B07903" w14:textId="77777777" w:rsidR="00B3563F" w:rsidRPr="00EF0F68" w:rsidRDefault="00B3563F" w:rsidP="00332E34">
      <w:pPr>
        <w:pStyle w:val="FootnoteText"/>
        <w:jc w:val="both"/>
        <w:rPr>
          <w:rFonts w:ascii="Calibri" w:hAnsi="Calibri"/>
          <w:sz w:val="16"/>
          <w:szCs w:val="16"/>
          <w:lang w:val="bs-Latn-BA"/>
        </w:rPr>
      </w:pPr>
      <w:r w:rsidRPr="00EF0F68">
        <w:rPr>
          <w:rStyle w:val="FootnoteReference"/>
          <w:rFonts w:ascii="Calibri" w:hAnsi="Calibri"/>
          <w:sz w:val="16"/>
          <w:szCs w:val="16"/>
        </w:rPr>
        <w:footnoteRef/>
      </w:r>
      <w:r w:rsidRPr="00EF0F68">
        <w:rPr>
          <w:rFonts w:ascii="Calibri" w:hAnsi="Calibri"/>
          <w:sz w:val="16"/>
          <w:szCs w:val="16"/>
          <w:lang w:val="bs-Latn-BA"/>
        </w:rPr>
        <w:t xml:space="preserve"> Ibid. </w:t>
      </w:r>
    </w:p>
  </w:footnote>
  <w:footnote w:id="24">
    <w:p w14:paraId="4D1F46CC" w14:textId="50BA2006" w:rsidR="00B3563F" w:rsidRPr="00332E34" w:rsidRDefault="00B3563F" w:rsidP="00332E34">
      <w:pPr>
        <w:pStyle w:val="FootnoteText"/>
        <w:jc w:val="both"/>
        <w:rPr>
          <w:rFonts w:asciiTheme="majorHAnsi" w:hAnsiTheme="majorHAnsi"/>
          <w:sz w:val="16"/>
          <w:szCs w:val="16"/>
          <w:lang w:val="bs-Latn-BA"/>
        </w:rPr>
      </w:pPr>
      <w:r w:rsidRPr="00332E34">
        <w:rPr>
          <w:rStyle w:val="FootnoteReference"/>
          <w:rFonts w:asciiTheme="majorHAnsi" w:hAnsiTheme="majorHAnsi"/>
          <w:sz w:val="16"/>
          <w:szCs w:val="16"/>
        </w:rPr>
        <w:footnoteRef/>
      </w:r>
      <w:r w:rsidRPr="00332E34">
        <w:rPr>
          <w:rFonts w:asciiTheme="majorHAnsi" w:hAnsiTheme="majorHAnsi"/>
          <w:sz w:val="16"/>
          <w:szCs w:val="16"/>
          <w:lang w:val="bs-Latn-BA"/>
        </w:rPr>
        <w:t xml:space="preserve"> Glavna služba za reviziju javnog sektora RS, </w:t>
      </w:r>
      <w:r w:rsidRPr="00332E34">
        <w:rPr>
          <w:rFonts w:asciiTheme="majorHAnsi" w:hAnsiTheme="majorHAnsi"/>
          <w:i/>
          <w:sz w:val="16"/>
          <w:szCs w:val="16"/>
          <w:lang w:val="bs-Latn-BA"/>
        </w:rPr>
        <w:t>Izvještaj o reviziji finansijskih izvještaja Ministarstva zdravlja i socijalne zaštite Republike Srpske za period 01.01 – 31.12.2014. godine</w:t>
      </w:r>
      <w:r w:rsidRPr="00332E34">
        <w:rPr>
          <w:rFonts w:asciiTheme="majorHAnsi" w:hAnsiTheme="majorHAnsi"/>
          <w:sz w:val="16"/>
          <w:szCs w:val="16"/>
          <w:lang w:val="bs-Latn-BA"/>
        </w:rPr>
        <w:t xml:space="preserve"> broj: RV027-15, mart 2015.</w:t>
      </w:r>
    </w:p>
  </w:footnote>
  <w:footnote w:id="25">
    <w:p w14:paraId="43EBF0BA" w14:textId="77777777" w:rsidR="00B3563F" w:rsidRPr="00332E34" w:rsidRDefault="00B3563F" w:rsidP="00332E34">
      <w:pPr>
        <w:pStyle w:val="FootnoteText"/>
        <w:jc w:val="both"/>
        <w:rPr>
          <w:rFonts w:asciiTheme="majorHAnsi" w:hAnsiTheme="majorHAnsi"/>
          <w:sz w:val="16"/>
          <w:szCs w:val="16"/>
          <w:lang w:val="bs-Latn-BA"/>
        </w:rPr>
      </w:pPr>
      <w:r w:rsidRPr="00332E34">
        <w:rPr>
          <w:rStyle w:val="FootnoteReference"/>
          <w:rFonts w:asciiTheme="majorHAnsi" w:hAnsiTheme="majorHAnsi"/>
          <w:sz w:val="16"/>
          <w:szCs w:val="16"/>
        </w:rPr>
        <w:footnoteRef/>
      </w:r>
      <w:r w:rsidRPr="00332E34">
        <w:rPr>
          <w:rFonts w:asciiTheme="majorHAnsi" w:hAnsiTheme="majorHAnsi"/>
          <w:sz w:val="16"/>
          <w:szCs w:val="16"/>
          <w:lang w:val="bs-Latn-BA"/>
        </w:rPr>
        <w:t xml:space="preserve"> Glavna služba za reviziju javnog sektora, </w:t>
      </w:r>
      <w:r w:rsidRPr="00332E34">
        <w:rPr>
          <w:rFonts w:asciiTheme="majorHAnsi" w:hAnsiTheme="majorHAnsi"/>
          <w:i/>
          <w:sz w:val="16"/>
          <w:szCs w:val="16"/>
          <w:lang w:val="bs-Latn-BA"/>
        </w:rPr>
        <w:t>Izvještaj o reviziji finansijskih izvještaja Republičke uprave za geodetske i imovinsko- pravne poslove Republike Srpske za period 01.01-31.12.2014. godine</w:t>
      </w:r>
      <w:r w:rsidRPr="00332E34">
        <w:rPr>
          <w:rFonts w:asciiTheme="majorHAnsi" w:hAnsiTheme="majorHAnsi"/>
          <w:sz w:val="16"/>
          <w:szCs w:val="16"/>
          <w:lang w:val="bs-Latn-BA"/>
        </w:rPr>
        <w:t xml:space="preserve"> broj RV O33-15, maj 2015.</w:t>
      </w:r>
    </w:p>
  </w:footnote>
  <w:footnote w:id="26">
    <w:p w14:paraId="3258DF62" w14:textId="77777777" w:rsidR="00B3563F" w:rsidRPr="00332E34" w:rsidRDefault="00B3563F" w:rsidP="00332E34">
      <w:pPr>
        <w:pStyle w:val="Default"/>
        <w:jc w:val="both"/>
        <w:rPr>
          <w:rFonts w:asciiTheme="majorHAnsi" w:hAnsiTheme="majorHAnsi"/>
          <w:sz w:val="16"/>
          <w:szCs w:val="16"/>
        </w:rPr>
      </w:pPr>
      <w:r w:rsidRPr="00332E34">
        <w:rPr>
          <w:rStyle w:val="FootnoteReference"/>
          <w:rFonts w:asciiTheme="majorHAnsi" w:hAnsiTheme="majorHAnsi"/>
          <w:sz w:val="16"/>
          <w:szCs w:val="16"/>
        </w:rPr>
        <w:footnoteRef/>
      </w:r>
      <w:r w:rsidRPr="00332E34">
        <w:rPr>
          <w:rFonts w:asciiTheme="majorHAnsi" w:hAnsiTheme="majorHAnsi"/>
          <w:sz w:val="16"/>
          <w:szCs w:val="16"/>
        </w:rPr>
        <w:t xml:space="preserve"> </w:t>
      </w:r>
      <w:r w:rsidRPr="00332E34">
        <w:rPr>
          <w:rFonts w:asciiTheme="majorHAnsi" w:hAnsiTheme="majorHAnsi"/>
          <w:color w:val="000000" w:themeColor="text1"/>
          <w:sz w:val="16"/>
          <w:szCs w:val="16"/>
        </w:rPr>
        <w:t xml:space="preserve"> Ured za reviziju institucija u Federaciji Bosne i Hercegovine</w:t>
      </w:r>
      <w:r w:rsidRPr="00332E34">
        <w:rPr>
          <w:rFonts w:asciiTheme="majorHAnsi" w:hAnsiTheme="majorHAnsi"/>
          <w:i/>
          <w:color w:val="000000" w:themeColor="text1"/>
          <w:sz w:val="16"/>
          <w:szCs w:val="16"/>
        </w:rPr>
        <w:t>, Trošenje javnih sredstava iz budžeta Federacije BiH za ugovore o djelu</w:t>
      </w:r>
      <w:r w:rsidRPr="00332E34">
        <w:rPr>
          <w:rFonts w:asciiTheme="majorHAnsi" w:hAnsiTheme="majorHAnsi"/>
          <w:color w:val="000000" w:themeColor="text1"/>
          <w:sz w:val="16"/>
          <w:szCs w:val="16"/>
        </w:rPr>
        <w:t>, Revizija učinka, januar 2014. Sarajevo</w:t>
      </w:r>
    </w:p>
  </w:footnote>
  <w:footnote w:id="27">
    <w:p w14:paraId="605C2435" w14:textId="77777777" w:rsidR="00B3563F" w:rsidRPr="0063038D" w:rsidRDefault="00B3563F" w:rsidP="0063038D">
      <w:pPr>
        <w:pStyle w:val="FootnoteText"/>
        <w:jc w:val="both"/>
        <w:rPr>
          <w:rFonts w:asciiTheme="majorHAnsi" w:hAnsiTheme="majorHAnsi"/>
          <w:sz w:val="16"/>
          <w:szCs w:val="16"/>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Ured za reviziju institucija u FBiH,</w:t>
      </w:r>
      <w:r w:rsidRPr="0063038D">
        <w:rPr>
          <w:rFonts w:asciiTheme="majorHAnsi" w:hAnsiTheme="majorHAnsi"/>
          <w:b/>
          <w:bCs/>
          <w:sz w:val="16"/>
          <w:szCs w:val="16"/>
          <w:lang w:val="bs-Latn-BA"/>
        </w:rPr>
        <w:t xml:space="preserve"> </w:t>
      </w:r>
      <w:r w:rsidRPr="0063038D">
        <w:rPr>
          <w:rFonts w:asciiTheme="majorHAnsi" w:hAnsiTheme="majorHAnsi"/>
          <w:i/>
          <w:sz w:val="16"/>
          <w:szCs w:val="16"/>
          <w:lang w:val="bs-Latn-BA"/>
        </w:rPr>
        <w:t>Izvještaj o reviziji finansijskih izvještaja Federalne direkcije robnih rezervi na dan 31.12.2014. godine</w:t>
      </w:r>
      <w:r w:rsidRPr="0063038D">
        <w:rPr>
          <w:rFonts w:asciiTheme="majorHAnsi" w:hAnsiTheme="majorHAnsi"/>
          <w:sz w:val="16"/>
          <w:szCs w:val="16"/>
          <w:lang w:val="bs-Latn-BA"/>
        </w:rPr>
        <w:t>, Broj: 03-31/15, april 2015. godine</w:t>
      </w:r>
    </w:p>
  </w:footnote>
  <w:footnote w:id="28">
    <w:p w14:paraId="49E5DC65" w14:textId="3EF7C943" w:rsidR="00B3563F" w:rsidRPr="0063038D" w:rsidRDefault="00B3563F" w:rsidP="0063038D">
      <w:pPr>
        <w:pStyle w:val="FootnoteText"/>
        <w:jc w:val="both"/>
        <w:rPr>
          <w:rFonts w:asciiTheme="majorHAnsi" w:hAnsiTheme="majorHAnsi"/>
          <w:sz w:val="16"/>
          <w:szCs w:val="16"/>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w:t>
      </w:r>
      <w:r>
        <w:rPr>
          <w:rFonts w:asciiTheme="majorHAnsi" w:hAnsiTheme="majorHAnsi"/>
          <w:sz w:val="16"/>
          <w:szCs w:val="16"/>
          <w:lang w:val="bs-Latn-BA"/>
        </w:rPr>
        <w:t>Ibid.</w:t>
      </w:r>
    </w:p>
  </w:footnote>
  <w:footnote w:id="29">
    <w:p w14:paraId="1244F20D" w14:textId="77777777" w:rsidR="00B3563F" w:rsidRPr="0063038D" w:rsidRDefault="00B3563F" w:rsidP="0063038D">
      <w:pPr>
        <w:tabs>
          <w:tab w:val="left" w:pos="6600"/>
        </w:tabs>
        <w:jc w:val="both"/>
        <w:rPr>
          <w:rFonts w:asciiTheme="majorHAnsi" w:hAnsiTheme="majorHAnsi"/>
          <w:sz w:val="16"/>
          <w:szCs w:val="16"/>
          <w:highlight w:val="yellow"/>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Ured za reviziju institucija u FBiH,</w:t>
      </w:r>
      <w:r w:rsidRPr="0063038D">
        <w:rPr>
          <w:rFonts w:asciiTheme="majorHAnsi" w:hAnsiTheme="majorHAnsi"/>
          <w:b/>
          <w:bCs/>
          <w:sz w:val="16"/>
          <w:szCs w:val="16"/>
          <w:lang w:val="bs-Latn-BA"/>
        </w:rPr>
        <w:t xml:space="preserve"> </w:t>
      </w:r>
      <w:r w:rsidRPr="0063038D">
        <w:rPr>
          <w:rFonts w:asciiTheme="majorHAnsi" w:hAnsiTheme="majorHAnsi"/>
          <w:i/>
          <w:sz w:val="16"/>
          <w:szCs w:val="16"/>
          <w:lang w:val="bs-Latn-BA"/>
        </w:rPr>
        <w:t>Izvještaj o reviziji finansijskih izvještaja Federalnog ministarstva prostornog uređenja na dan 31.12.2014. godine</w:t>
      </w:r>
      <w:r w:rsidRPr="0063038D">
        <w:rPr>
          <w:rFonts w:asciiTheme="majorHAnsi" w:hAnsiTheme="majorHAnsi"/>
          <w:sz w:val="16"/>
          <w:szCs w:val="16"/>
          <w:lang w:val="bs-Latn-BA"/>
        </w:rPr>
        <w:t>, Broj: 03-17/15, mart 2015. godine</w:t>
      </w:r>
    </w:p>
  </w:footnote>
  <w:footnote w:id="30">
    <w:p w14:paraId="7A068AA7" w14:textId="2D28F2AA" w:rsidR="00B3563F" w:rsidRPr="0063038D" w:rsidRDefault="00B3563F" w:rsidP="0063038D">
      <w:pPr>
        <w:tabs>
          <w:tab w:val="left" w:pos="6600"/>
        </w:tabs>
        <w:jc w:val="both"/>
        <w:rPr>
          <w:rFonts w:asciiTheme="majorHAnsi" w:hAnsiTheme="majorHAnsi"/>
          <w:sz w:val="16"/>
          <w:szCs w:val="16"/>
          <w:highlight w:val="yellow"/>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w:t>
      </w:r>
      <w:r>
        <w:rPr>
          <w:rFonts w:asciiTheme="majorHAnsi" w:hAnsiTheme="majorHAnsi"/>
          <w:sz w:val="16"/>
          <w:szCs w:val="16"/>
          <w:lang w:val="bs-Latn-BA"/>
        </w:rPr>
        <w:t>Ibid.</w:t>
      </w:r>
    </w:p>
  </w:footnote>
  <w:footnote w:id="31">
    <w:p w14:paraId="6872CD8B" w14:textId="77777777" w:rsidR="00B3563F" w:rsidRPr="0063038D" w:rsidRDefault="00B3563F" w:rsidP="0063038D">
      <w:pPr>
        <w:pStyle w:val="FootnoteText"/>
        <w:jc w:val="both"/>
        <w:rPr>
          <w:rFonts w:asciiTheme="majorHAnsi" w:hAnsiTheme="majorHAnsi"/>
          <w:sz w:val="16"/>
          <w:szCs w:val="16"/>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Glavna služba za reviziju javnog sektora RS, </w:t>
      </w:r>
      <w:r w:rsidRPr="0063038D">
        <w:rPr>
          <w:rFonts w:asciiTheme="majorHAnsi" w:hAnsiTheme="majorHAnsi"/>
          <w:i/>
          <w:sz w:val="16"/>
          <w:szCs w:val="16"/>
          <w:lang w:val="bs-Latn-BA"/>
        </w:rPr>
        <w:t>Izvješaj o reviziji zbirnih finansijskih izvještaja Ministarstva pravde Republike Srpske za period 01.01-31.12.2014. g., broj RV005-15</w:t>
      </w:r>
      <w:r w:rsidRPr="0063038D">
        <w:rPr>
          <w:rFonts w:asciiTheme="majorHAnsi" w:hAnsiTheme="majorHAnsi"/>
          <w:sz w:val="16"/>
          <w:szCs w:val="16"/>
          <w:lang w:val="bs-Latn-BA"/>
        </w:rPr>
        <w:t xml:space="preserve">, jun 2015. </w:t>
      </w:r>
    </w:p>
  </w:footnote>
  <w:footnote w:id="32">
    <w:p w14:paraId="17444A08" w14:textId="62A7FE3E" w:rsidR="00B3563F" w:rsidRPr="00880EE9" w:rsidRDefault="00B3563F" w:rsidP="0063038D">
      <w:pPr>
        <w:pStyle w:val="FootnoteText"/>
        <w:jc w:val="both"/>
        <w:rPr>
          <w:lang w:val="bs-Latn-BA"/>
        </w:rPr>
      </w:pPr>
      <w:r w:rsidRPr="0063038D">
        <w:rPr>
          <w:rStyle w:val="FootnoteReference"/>
          <w:rFonts w:asciiTheme="majorHAnsi" w:hAnsiTheme="majorHAnsi"/>
          <w:sz w:val="16"/>
          <w:szCs w:val="16"/>
        </w:rPr>
        <w:footnoteRef/>
      </w:r>
      <w:r w:rsidRPr="0063038D">
        <w:rPr>
          <w:rFonts w:asciiTheme="majorHAnsi" w:hAnsiTheme="majorHAnsi"/>
          <w:sz w:val="16"/>
          <w:szCs w:val="16"/>
          <w:lang w:val="bs-Latn-BA"/>
        </w:rPr>
        <w:t xml:space="preserve"> Glavna služba za reviziju javnog sektora RS, </w:t>
      </w:r>
      <w:r w:rsidRPr="0063038D">
        <w:rPr>
          <w:rFonts w:asciiTheme="majorHAnsi" w:hAnsiTheme="majorHAnsi"/>
          <w:i/>
          <w:sz w:val="16"/>
          <w:szCs w:val="16"/>
          <w:lang w:val="bs-Latn-BA"/>
        </w:rPr>
        <w:t>Izvještaj o reviziji finansijskih izvještaja Ministarstva rada i boračko-invalidske zaštite Republike Srpske</w:t>
      </w:r>
      <w:r>
        <w:rPr>
          <w:rFonts w:asciiTheme="majorHAnsi" w:hAnsiTheme="majorHAnsi"/>
          <w:i/>
          <w:sz w:val="16"/>
          <w:szCs w:val="16"/>
          <w:lang w:val="bs-Latn-BA"/>
        </w:rPr>
        <w:t xml:space="preserve"> </w:t>
      </w:r>
      <w:r w:rsidRPr="0063038D">
        <w:rPr>
          <w:rFonts w:asciiTheme="majorHAnsi" w:hAnsiTheme="majorHAnsi"/>
          <w:i/>
          <w:sz w:val="16"/>
          <w:szCs w:val="16"/>
          <w:lang w:val="bs-Latn-BA"/>
        </w:rPr>
        <w:t>za period 01.01-31.12.2014. godine Broj:RV047-15</w:t>
      </w:r>
      <w:r w:rsidRPr="0063038D">
        <w:rPr>
          <w:rFonts w:asciiTheme="majorHAnsi" w:hAnsiTheme="majorHAnsi"/>
          <w:sz w:val="16"/>
          <w:szCs w:val="16"/>
          <w:lang w:val="bs-Latn-BA"/>
        </w:rPr>
        <w:t>, mart 2015.</w:t>
      </w:r>
    </w:p>
  </w:footnote>
  <w:footnote w:id="33">
    <w:p w14:paraId="7E8974B2" w14:textId="77777777" w:rsidR="00423D8F" w:rsidRPr="00423D8F" w:rsidRDefault="00423D8F" w:rsidP="00423D8F">
      <w:pPr>
        <w:pStyle w:val="FootnoteText"/>
        <w:rPr>
          <w:rFonts w:asciiTheme="majorHAnsi" w:hAnsiTheme="majorHAnsi"/>
          <w:sz w:val="16"/>
          <w:szCs w:val="16"/>
          <w:lang w:val="bs-Latn-BA"/>
        </w:rPr>
      </w:pPr>
      <w:r w:rsidRPr="00423D8F">
        <w:rPr>
          <w:rStyle w:val="FootnoteReference"/>
          <w:rFonts w:asciiTheme="majorHAnsi" w:hAnsiTheme="majorHAnsi"/>
          <w:sz w:val="16"/>
          <w:szCs w:val="16"/>
        </w:rPr>
        <w:footnoteRef/>
      </w:r>
      <w:r w:rsidRPr="00423D8F">
        <w:rPr>
          <w:rFonts w:asciiTheme="majorHAnsi" w:hAnsiTheme="majorHAnsi"/>
          <w:sz w:val="16"/>
          <w:szCs w:val="16"/>
          <w:lang w:val="bs-Latn-BA"/>
        </w:rPr>
        <w:t xml:space="preserve"> Ured za reviziju institucija u FBiH,</w:t>
      </w:r>
      <w:r w:rsidRPr="00423D8F">
        <w:rPr>
          <w:rFonts w:asciiTheme="majorHAnsi" w:hAnsiTheme="majorHAnsi"/>
          <w:b/>
          <w:bCs/>
          <w:sz w:val="16"/>
          <w:szCs w:val="16"/>
          <w:lang w:val="bs-Latn-BA"/>
        </w:rPr>
        <w:t xml:space="preserve"> </w:t>
      </w:r>
      <w:r w:rsidRPr="00423D8F">
        <w:rPr>
          <w:rFonts w:asciiTheme="majorHAnsi" w:hAnsiTheme="majorHAnsi"/>
          <w:i/>
          <w:sz w:val="16"/>
          <w:szCs w:val="16"/>
          <w:lang w:val="bs-Latn-BA"/>
        </w:rPr>
        <w:t>Izvještaj o reviziji finansijskih izvještaja Federalnog ministarstva poljoprivrede, vodoprivrede i šumarstva na dan 31.12.2014. godine</w:t>
      </w:r>
      <w:r w:rsidRPr="00423D8F">
        <w:rPr>
          <w:rFonts w:asciiTheme="majorHAnsi" w:hAnsiTheme="majorHAnsi"/>
          <w:sz w:val="16"/>
          <w:szCs w:val="16"/>
          <w:lang w:val="bs-Latn-BA"/>
        </w:rPr>
        <w:t>, Broj: 03-18/15, juni 2015.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C280630"/>
    <w:multiLevelType w:val="hybridMultilevel"/>
    <w:tmpl w:val="3F7E22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8BF07CC"/>
    <w:multiLevelType w:val="hybridMultilevel"/>
    <w:tmpl w:val="4F888454"/>
    <w:lvl w:ilvl="0" w:tplc="BCBAA2A0">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B05469F"/>
    <w:multiLevelType w:val="hybridMultilevel"/>
    <w:tmpl w:val="1D3AAF20"/>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60849D1"/>
    <w:multiLevelType w:val="hybridMultilevel"/>
    <w:tmpl w:val="1E6A4DD4"/>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6A670AF"/>
    <w:multiLevelType w:val="hybridMultilevel"/>
    <w:tmpl w:val="6D9C88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306F4E28"/>
    <w:multiLevelType w:val="hybridMultilevel"/>
    <w:tmpl w:val="53A8B5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72706E6"/>
    <w:multiLevelType w:val="hybridMultilevel"/>
    <w:tmpl w:val="49F0D0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C8C77FB"/>
    <w:multiLevelType w:val="hybridMultilevel"/>
    <w:tmpl w:val="FE1E5D7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E435399"/>
    <w:multiLevelType w:val="hybridMultilevel"/>
    <w:tmpl w:val="EE060002"/>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3170659"/>
    <w:multiLevelType w:val="hybridMultilevel"/>
    <w:tmpl w:val="5D145E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E47466B"/>
    <w:multiLevelType w:val="hybridMultilevel"/>
    <w:tmpl w:val="56B835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F315DE6"/>
    <w:multiLevelType w:val="hybridMultilevel"/>
    <w:tmpl w:val="05C8273C"/>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4242CE8"/>
    <w:multiLevelType w:val="multilevel"/>
    <w:tmpl w:val="035E7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2D7E64"/>
    <w:multiLevelType w:val="hybridMultilevel"/>
    <w:tmpl w:val="4E34B9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71F7DD9"/>
    <w:multiLevelType w:val="hybridMultilevel"/>
    <w:tmpl w:val="D5D265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9154269"/>
    <w:multiLevelType w:val="hybridMultilevel"/>
    <w:tmpl w:val="DC02CA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5C085EFF"/>
    <w:multiLevelType w:val="hybridMultilevel"/>
    <w:tmpl w:val="985A24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61664A23"/>
    <w:multiLevelType w:val="hybridMultilevel"/>
    <w:tmpl w:val="D6D2CB78"/>
    <w:lvl w:ilvl="0" w:tplc="E1029764">
      <w:numFmt w:val="bullet"/>
      <w:lvlText w:val="-"/>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62B8658A"/>
    <w:multiLevelType w:val="hybridMultilevel"/>
    <w:tmpl w:val="7BE2E8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67DB007E"/>
    <w:multiLevelType w:val="hybridMultilevel"/>
    <w:tmpl w:val="0F9E7B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6CD56D98"/>
    <w:multiLevelType w:val="hybridMultilevel"/>
    <w:tmpl w:val="C6BCC39C"/>
    <w:lvl w:ilvl="0" w:tplc="D5E2CC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079BC"/>
    <w:multiLevelType w:val="hybridMultilevel"/>
    <w:tmpl w:val="FAC2AD4E"/>
    <w:lvl w:ilvl="0" w:tplc="742C50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12"/>
  </w:num>
  <w:num w:numId="5">
    <w:abstractNumId w:val="5"/>
  </w:num>
  <w:num w:numId="6">
    <w:abstractNumId w:val="10"/>
  </w:num>
  <w:num w:numId="7">
    <w:abstractNumId w:val="19"/>
  </w:num>
  <w:num w:numId="8">
    <w:abstractNumId w:val="11"/>
  </w:num>
  <w:num w:numId="9">
    <w:abstractNumId w:val="20"/>
  </w:num>
  <w:num w:numId="10">
    <w:abstractNumId w:val="8"/>
  </w:num>
  <w:num w:numId="11">
    <w:abstractNumId w:val="1"/>
  </w:num>
  <w:num w:numId="12">
    <w:abstractNumId w:val="14"/>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9"/>
  </w:num>
  <w:num w:numId="20">
    <w:abstractNumId w:val="2"/>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7"/>
    <w:rsid w:val="00000C42"/>
    <w:rsid w:val="000424CE"/>
    <w:rsid w:val="00057614"/>
    <w:rsid w:val="0007795B"/>
    <w:rsid w:val="00083ACE"/>
    <w:rsid w:val="000B53A3"/>
    <w:rsid w:val="000C432C"/>
    <w:rsid w:val="000F476E"/>
    <w:rsid w:val="00110EDC"/>
    <w:rsid w:val="0014009F"/>
    <w:rsid w:val="001608E7"/>
    <w:rsid w:val="0016219C"/>
    <w:rsid w:val="001658EC"/>
    <w:rsid w:val="00167A5F"/>
    <w:rsid w:val="001813B7"/>
    <w:rsid w:val="001B5B80"/>
    <w:rsid w:val="001B7F91"/>
    <w:rsid w:val="001C27FE"/>
    <w:rsid w:val="00200D86"/>
    <w:rsid w:val="00201C00"/>
    <w:rsid w:val="002144A8"/>
    <w:rsid w:val="002217B4"/>
    <w:rsid w:val="0023323A"/>
    <w:rsid w:val="00254315"/>
    <w:rsid w:val="00275290"/>
    <w:rsid w:val="002A7FA2"/>
    <w:rsid w:val="002F73B9"/>
    <w:rsid w:val="0030248C"/>
    <w:rsid w:val="00324A7B"/>
    <w:rsid w:val="00332E34"/>
    <w:rsid w:val="00333996"/>
    <w:rsid w:val="00351431"/>
    <w:rsid w:val="003929DC"/>
    <w:rsid w:val="003A21E9"/>
    <w:rsid w:val="003C7CBA"/>
    <w:rsid w:val="003D2E72"/>
    <w:rsid w:val="003D46B6"/>
    <w:rsid w:val="003E1537"/>
    <w:rsid w:val="00402FFB"/>
    <w:rsid w:val="0041517D"/>
    <w:rsid w:val="00423D8F"/>
    <w:rsid w:val="00440473"/>
    <w:rsid w:val="004418A3"/>
    <w:rsid w:val="00455AF3"/>
    <w:rsid w:val="00460172"/>
    <w:rsid w:val="00473FA9"/>
    <w:rsid w:val="00475C28"/>
    <w:rsid w:val="0047677B"/>
    <w:rsid w:val="00487DBD"/>
    <w:rsid w:val="004C25C4"/>
    <w:rsid w:val="004D22B2"/>
    <w:rsid w:val="004E1A5C"/>
    <w:rsid w:val="005016A4"/>
    <w:rsid w:val="00524F3F"/>
    <w:rsid w:val="0052718B"/>
    <w:rsid w:val="005277D2"/>
    <w:rsid w:val="00530731"/>
    <w:rsid w:val="00537105"/>
    <w:rsid w:val="0054107F"/>
    <w:rsid w:val="00542BC9"/>
    <w:rsid w:val="00544BC5"/>
    <w:rsid w:val="00551A24"/>
    <w:rsid w:val="00554976"/>
    <w:rsid w:val="00561568"/>
    <w:rsid w:val="0056646D"/>
    <w:rsid w:val="00572136"/>
    <w:rsid w:val="00575EF8"/>
    <w:rsid w:val="00581940"/>
    <w:rsid w:val="00582BC3"/>
    <w:rsid w:val="00584EDC"/>
    <w:rsid w:val="00593A1A"/>
    <w:rsid w:val="005976BB"/>
    <w:rsid w:val="005A1781"/>
    <w:rsid w:val="005B2DF8"/>
    <w:rsid w:val="005B343B"/>
    <w:rsid w:val="005B7CC9"/>
    <w:rsid w:val="005D04D0"/>
    <w:rsid w:val="005E05B4"/>
    <w:rsid w:val="005E245A"/>
    <w:rsid w:val="005E61AE"/>
    <w:rsid w:val="005E61B0"/>
    <w:rsid w:val="005F7464"/>
    <w:rsid w:val="00603008"/>
    <w:rsid w:val="00605E84"/>
    <w:rsid w:val="00606001"/>
    <w:rsid w:val="00606171"/>
    <w:rsid w:val="00615231"/>
    <w:rsid w:val="006221CC"/>
    <w:rsid w:val="00624507"/>
    <w:rsid w:val="0063038D"/>
    <w:rsid w:val="0067315F"/>
    <w:rsid w:val="006803B6"/>
    <w:rsid w:val="006B1D49"/>
    <w:rsid w:val="006C51F9"/>
    <w:rsid w:val="006D17E0"/>
    <w:rsid w:val="006E1BFB"/>
    <w:rsid w:val="00722286"/>
    <w:rsid w:val="007340BB"/>
    <w:rsid w:val="007413CB"/>
    <w:rsid w:val="00743F5C"/>
    <w:rsid w:val="0075425F"/>
    <w:rsid w:val="00754472"/>
    <w:rsid w:val="00756764"/>
    <w:rsid w:val="00764DEA"/>
    <w:rsid w:val="0078475C"/>
    <w:rsid w:val="00787D8E"/>
    <w:rsid w:val="007951D6"/>
    <w:rsid w:val="007B2D73"/>
    <w:rsid w:val="007C399C"/>
    <w:rsid w:val="007F1E13"/>
    <w:rsid w:val="008138E9"/>
    <w:rsid w:val="0085015F"/>
    <w:rsid w:val="00857D54"/>
    <w:rsid w:val="00880EE9"/>
    <w:rsid w:val="008950BF"/>
    <w:rsid w:val="008B1FE4"/>
    <w:rsid w:val="008C26EA"/>
    <w:rsid w:val="008C321A"/>
    <w:rsid w:val="009236F1"/>
    <w:rsid w:val="009B4EED"/>
    <w:rsid w:val="009D29F8"/>
    <w:rsid w:val="009F1C56"/>
    <w:rsid w:val="00A01886"/>
    <w:rsid w:val="00A06F99"/>
    <w:rsid w:val="00A2668C"/>
    <w:rsid w:val="00AF6DB3"/>
    <w:rsid w:val="00B12826"/>
    <w:rsid w:val="00B24081"/>
    <w:rsid w:val="00B315AD"/>
    <w:rsid w:val="00B3563F"/>
    <w:rsid w:val="00B64A66"/>
    <w:rsid w:val="00B8012C"/>
    <w:rsid w:val="00B81AA7"/>
    <w:rsid w:val="00B81D77"/>
    <w:rsid w:val="00B82A7A"/>
    <w:rsid w:val="00B856F2"/>
    <w:rsid w:val="00BA2688"/>
    <w:rsid w:val="00BA73CC"/>
    <w:rsid w:val="00BD6F46"/>
    <w:rsid w:val="00BE29E9"/>
    <w:rsid w:val="00BF2431"/>
    <w:rsid w:val="00C03EFB"/>
    <w:rsid w:val="00C179E2"/>
    <w:rsid w:val="00C216BD"/>
    <w:rsid w:val="00C36F17"/>
    <w:rsid w:val="00C472E2"/>
    <w:rsid w:val="00C633A5"/>
    <w:rsid w:val="00C66013"/>
    <w:rsid w:val="00C7034F"/>
    <w:rsid w:val="00C81BEC"/>
    <w:rsid w:val="00C97E94"/>
    <w:rsid w:val="00CB68C8"/>
    <w:rsid w:val="00CF5340"/>
    <w:rsid w:val="00D00F20"/>
    <w:rsid w:val="00D0799D"/>
    <w:rsid w:val="00D31F38"/>
    <w:rsid w:val="00D41B3F"/>
    <w:rsid w:val="00D72680"/>
    <w:rsid w:val="00D805A6"/>
    <w:rsid w:val="00D83ACA"/>
    <w:rsid w:val="00E24E47"/>
    <w:rsid w:val="00E55E1C"/>
    <w:rsid w:val="00E60433"/>
    <w:rsid w:val="00E611EC"/>
    <w:rsid w:val="00E82362"/>
    <w:rsid w:val="00E84F8A"/>
    <w:rsid w:val="00EA02B3"/>
    <w:rsid w:val="00EC4404"/>
    <w:rsid w:val="00EE2318"/>
    <w:rsid w:val="00EF092E"/>
    <w:rsid w:val="00EF0F68"/>
    <w:rsid w:val="00EF41A6"/>
    <w:rsid w:val="00EF56F6"/>
    <w:rsid w:val="00F12768"/>
    <w:rsid w:val="00F40631"/>
    <w:rsid w:val="00F52163"/>
    <w:rsid w:val="00F55446"/>
    <w:rsid w:val="00F633B2"/>
    <w:rsid w:val="00F6567D"/>
    <w:rsid w:val="00F9072C"/>
    <w:rsid w:val="00FB7884"/>
    <w:rsid w:val="00FC6D50"/>
    <w:rsid w:val="00FD7B9A"/>
    <w:rsid w:val="00FE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C0F9E"/>
  <w14:defaultImageDpi w14:val="300"/>
  <w15:docId w15:val="{DDA056FB-2860-4FD4-A404-3F2155A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17"/>
    <w:pPr>
      <w:ind w:left="720"/>
      <w:contextualSpacing/>
    </w:pPr>
  </w:style>
  <w:style w:type="paragraph" w:styleId="FootnoteText">
    <w:name w:val="footnote text"/>
    <w:basedOn w:val="Normal"/>
    <w:link w:val="FootnoteTextChar"/>
    <w:uiPriority w:val="99"/>
    <w:unhideWhenUsed/>
    <w:rsid w:val="007C399C"/>
  </w:style>
  <w:style w:type="character" w:customStyle="1" w:styleId="FootnoteTextChar">
    <w:name w:val="Footnote Text Char"/>
    <w:basedOn w:val="DefaultParagraphFont"/>
    <w:link w:val="FootnoteText"/>
    <w:uiPriority w:val="99"/>
    <w:rsid w:val="007C399C"/>
  </w:style>
  <w:style w:type="character" w:styleId="FootnoteReference">
    <w:name w:val="footnote reference"/>
    <w:basedOn w:val="DefaultParagraphFont"/>
    <w:uiPriority w:val="99"/>
    <w:unhideWhenUsed/>
    <w:rsid w:val="007C399C"/>
    <w:rPr>
      <w:vertAlign w:val="superscript"/>
    </w:rPr>
  </w:style>
  <w:style w:type="character" w:styleId="Hyperlink">
    <w:name w:val="Hyperlink"/>
    <w:basedOn w:val="DefaultParagraphFont"/>
    <w:uiPriority w:val="99"/>
    <w:unhideWhenUsed/>
    <w:rsid w:val="005277D2"/>
    <w:rPr>
      <w:color w:val="0000FF" w:themeColor="hyperlink"/>
      <w:u w:val="single"/>
    </w:rPr>
  </w:style>
  <w:style w:type="character" w:styleId="CommentReference">
    <w:name w:val="annotation reference"/>
    <w:basedOn w:val="DefaultParagraphFont"/>
    <w:uiPriority w:val="99"/>
    <w:semiHidden/>
    <w:unhideWhenUsed/>
    <w:rsid w:val="00CB68C8"/>
    <w:rPr>
      <w:sz w:val="18"/>
      <w:szCs w:val="18"/>
    </w:rPr>
  </w:style>
  <w:style w:type="paragraph" w:styleId="CommentText">
    <w:name w:val="annotation text"/>
    <w:basedOn w:val="Normal"/>
    <w:link w:val="CommentTextChar"/>
    <w:uiPriority w:val="99"/>
    <w:semiHidden/>
    <w:unhideWhenUsed/>
    <w:rsid w:val="00CB68C8"/>
  </w:style>
  <w:style w:type="character" w:customStyle="1" w:styleId="CommentTextChar">
    <w:name w:val="Comment Text Char"/>
    <w:basedOn w:val="DefaultParagraphFont"/>
    <w:link w:val="CommentText"/>
    <w:uiPriority w:val="99"/>
    <w:semiHidden/>
    <w:rsid w:val="00CB68C8"/>
  </w:style>
  <w:style w:type="paragraph" w:styleId="CommentSubject">
    <w:name w:val="annotation subject"/>
    <w:basedOn w:val="CommentText"/>
    <w:next w:val="CommentText"/>
    <w:link w:val="CommentSubjectChar"/>
    <w:uiPriority w:val="99"/>
    <w:semiHidden/>
    <w:unhideWhenUsed/>
    <w:rsid w:val="00CB68C8"/>
    <w:rPr>
      <w:b/>
      <w:bCs/>
      <w:sz w:val="20"/>
      <w:szCs w:val="20"/>
    </w:rPr>
  </w:style>
  <w:style w:type="character" w:customStyle="1" w:styleId="CommentSubjectChar">
    <w:name w:val="Comment Subject Char"/>
    <w:basedOn w:val="CommentTextChar"/>
    <w:link w:val="CommentSubject"/>
    <w:uiPriority w:val="99"/>
    <w:semiHidden/>
    <w:rsid w:val="00CB68C8"/>
    <w:rPr>
      <w:b/>
      <w:bCs/>
      <w:sz w:val="20"/>
      <w:szCs w:val="20"/>
    </w:rPr>
  </w:style>
  <w:style w:type="paragraph" w:styleId="BalloonText">
    <w:name w:val="Balloon Text"/>
    <w:basedOn w:val="Normal"/>
    <w:link w:val="BalloonTextChar"/>
    <w:uiPriority w:val="99"/>
    <w:semiHidden/>
    <w:unhideWhenUsed/>
    <w:rsid w:val="00CB6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8C8"/>
    <w:rPr>
      <w:rFonts w:ascii="Lucida Grande" w:hAnsi="Lucida Grande" w:cs="Lucida Grande"/>
      <w:sz w:val="18"/>
      <w:szCs w:val="18"/>
    </w:rPr>
  </w:style>
  <w:style w:type="paragraph" w:customStyle="1" w:styleId="Default">
    <w:name w:val="Default"/>
    <w:rsid w:val="00B82A7A"/>
    <w:pPr>
      <w:autoSpaceDE w:val="0"/>
      <w:autoSpaceDN w:val="0"/>
      <w:adjustRightInd w:val="0"/>
    </w:pPr>
    <w:rPr>
      <w:rFonts w:ascii="Times New Roman" w:hAnsi="Times New Roman" w:cs="Times New Roman"/>
      <w:color w:val="000000"/>
      <w:lang w:val="bs-Latn-BA"/>
    </w:rPr>
  </w:style>
  <w:style w:type="paragraph" w:styleId="NormalWeb">
    <w:name w:val="Normal (Web)"/>
    <w:basedOn w:val="Normal"/>
    <w:uiPriority w:val="99"/>
    <w:unhideWhenUsed/>
    <w:rsid w:val="00F40631"/>
    <w:pPr>
      <w:spacing w:before="100" w:beforeAutospacing="1" w:after="100" w:afterAutospacing="1"/>
    </w:pPr>
    <w:rPr>
      <w:rFonts w:ascii="Times New Roman" w:eastAsia="Times New Roman" w:hAnsi="Times New Roman" w:cs="Times New Roman"/>
      <w:lang w:val="hr-BA" w:eastAsia="hr-BA"/>
    </w:rPr>
  </w:style>
  <w:style w:type="paragraph" w:styleId="PlainText">
    <w:name w:val="Plain Text"/>
    <w:basedOn w:val="Normal"/>
    <w:link w:val="PlainTextChar"/>
    <w:uiPriority w:val="99"/>
    <w:unhideWhenUsed/>
    <w:rsid w:val="004D22B2"/>
    <w:rPr>
      <w:rFonts w:ascii="Calibri" w:eastAsia="Calibri" w:hAnsi="Calibri" w:cs="Times New Roman"/>
      <w:sz w:val="22"/>
      <w:szCs w:val="21"/>
      <w:lang w:val="bs-Latn-BA"/>
    </w:rPr>
  </w:style>
  <w:style w:type="character" w:customStyle="1" w:styleId="PlainTextChar">
    <w:name w:val="Plain Text Char"/>
    <w:basedOn w:val="DefaultParagraphFont"/>
    <w:link w:val="PlainText"/>
    <w:uiPriority w:val="99"/>
    <w:rsid w:val="004D22B2"/>
    <w:rPr>
      <w:rFonts w:ascii="Calibri" w:eastAsia="Calibri" w:hAnsi="Calibri" w:cs="Times New Roman"/>
      <w:sz w:val="22"/>
      <w:szCs w:val="21"/>
      <w:lang w:val="bs-Latn-BA"/>
    </w:rPr>
  </w:style>
  <w:style w:type="paragraph" w:styleId="Subtitle">
    <w:name w:val="Subtitle"/>
    <w:basedOn w:val="Normal"/>
    <w:next w:val="Normal"/>
    <w:link w:val="SubtitleChar"/>
    <w:uiPriority w:val="11"/>
    <w:qFormat/>
    <w:rsid w:val="005016A4"/>
    <w:pPr>
      <w:numPr>
        <w:ilvl w:val="1"/>
      </w:numPr>
    </w:pPr>
    <w:rPr>
      <w:rFonts w:ascii="Calibri" w:eastAsia="MS Gothic" w:hAnsi="Calibri" w:cs="Times New Roman"/>
      <w:i/>
      <w:iCs/>
      <w:color w:val="4F81BD"/>
      <w:spacing w:val="15"/>
      <w:sz w:val="20"/>
      <w:szCs w:val="20"/>
      <w:lang w:val="bs-Latn-BA" w:eastAsia="bs-Latn-BA"/>
    </w:rPr>
  </w:style>
  <w:style w:type="character" w:customStyle="1" w:styleId="SubtitleChar">
    <w:name w:val="Subtitle Char"/>
    <w:basedOn w:val="DefaultParagraphFont"/>
    <w:link w:val="Subtitle"/>
    <w:uiPriority w:val="11"/>
    <w:rsid w:val="005016A4"/>
    <w:rPr>
      <w:rFonts w:ascii="Calibri" w:eastAsia="MS Gothic" w:hAnsi="Calibri" w:cs="Times New Roman"/>
      <w:i/>
      <w:iCs/>
      <w:color w:val="4F81BD"/>
      <w:spacing w:val="15"/>
      <w:sz w:val="20"/>
      <w:szCs w:val="20"/>
      <w:lang w:val="bs-Latn-BA" w:eastAsia="bs-Latn-BA"/>
    </w:rPr>
  </w:style>
  <w:style w:type="paragraph" w:styleId="NoSpacing">
    <w:name w:val="No Spacing"/>
    <w:uiPriority w:val="1"/>
    <w:qFormat/>
    <w:rsid w:val="005016A4"/>
    <w:rPr>
      <w:rFonts w:ascii="Calibri" w:eastAsia="Calibri" w:hAnsi="Calibri" w:cs="Times New Roman"/>
      <w:sz w:val="22"/>
      <w:szCs w:val="22"/>
    </w:rPr>
  </w:style>
  <w:style w:type="paragraph" w:styleId="Header">
    <w:name w:val="header"/>
    <w:basedOn w:val="Normal"/>
    <w:link w:val="HeaderChar"/>
    <w:uiPriority w:val="99"/>
    <w:unhideWhenUsed/>
    <w:rsid w:val="00423D8F"/>
    <w:pPr>
      <w:tabs>
        <w:tab w:val="center" w:pos="4536"/>
        <w:tab w:val="right" w:pos="9072"/>
      </w:tabs>
    </w:pPr>
  </w:style>
  <w:style w:type="character" w:customStyle="1" w:styleId="HeaderChar">
    <w:name w:val="Header Char"/>
    <w:basedOn w:val="DefaultParagraphFont"/>
    <w:link w:val="Header"/>
    <w:uiPriority w:val="99"/>
    <w:rsid w:val="00423D8F"/>
  </w:style>
  <w:style w:type="paragraph" w:styleId="Footer">
    <w:name w:val="footer"/>
    <w:basedOn w:val="Normal"/>
    <w:link w:val="FooterChar"/>
    <w:uiPriority w:val="99"/>
    <w:unhideWhenUsed/>
    <w:rsid w:val="00423D8F"/>
    <w:pPr>
      <w:tabs>
        <w:tab w:val="center" w:pos="4536"/>
        <w:tab w:val="right" w:pos="9072"/>
      </w:tabs>
    </w:pPr>
  </w:style>
  <w:style w:type="character" w:customStyle="1" w:styleId="FooterChar">
    <w:name w:val="Footer Char"/>
    <w:basedOn w:val="DefaultParagraphFont"/>
    <w:link w:val="Footer"/>
    <w:uiPriority w:val="99"/>
    <w:rsid w:val="0042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0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sr-rs.org/static/uploads/report_attachments/2014/07/29/RU003-13_Cyr.pdf" TargetMode="External"/><Relationship Id="rId2" Type="http://schemas.openxmlformats.org/officeDocument/2006/relationships/hyperlink" Target="http://ogp.ba/akcioni-plan/" TargetMode="External"/><Relationship Id="rId1" Type="http://schemas.openxmlformats.org/officeDocument/2006/relationships/hyperlink" Target="http://ti-bih.org/skoro-cetvrtina-gradana-bila-u-situaciji-da-im-se-trazi-mito/" TargetMode="External"/><Relationship Id="rId4" Type="http://schemas.openxmlformats.org/officeDocument/2006/relationships/hyperlink" Target="http://www.gsr-rs.org/static/uploads/report_attachments/2014/07/29/RU003-13_Cy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CD39-0228-4E9D-9CAB-48E321EA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elvira mujkic</cp:lastModifiedBy>
  <cp:revision>63</cp:revision>
  <cp:lastPrinted>2016-04-06T11:07:00Z</cp:lastPrinted>
  <dcterms:created xsi:type="dcterms:W3CDTF">2016-04-01T08:54:00Z</dcterms:created>
  <dcterms:modified xsi:type="dcterms:W3CDTF">2016-04-07T10:34:00Z</dcterms:modified>
</cp:coreProperties>
</file>