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D7" w:rsidRDefault="004007D0" w:rsidP="007D3DD7">
      <w:pPr>
        <w:ind w:right="-6"/>
      </w:pPr>
      <w:r>
        <w:rPr>
          <w:noProof/>
          <w:lang w:val="bs-Latn-BA" w:eastAsia="bs-Latn-BA"/>
        </w:rPr>
        <w:drawing>
          <wp:anchor distT="0" distB="0" distL="114300" distR="114300" simplePos="0" relativeHeight="251660800" behindDoc="1" locked="0" layoutInCell="1" allowOverlap="1" wp14:anchorId="229D47E9" wp14:editId="06DC83B9">
            <wp:simplePos x="0" y="0"/>
            <wp:positionH relativeFrom="column">
              <wp:posOffset>160020</wp:posOffset>
            </wp:positionH>
            <wp:positionV relativeFrom="paragraph">
              <wp:posOffset>-209550</wp:posOffset>
            </wp:positionV>
            <wp:extent cx="1849755" cy="459740"/>
            <wp:effectExtent l="0" t="0" r="0" b="0"/>
            <wp:wrapNone/>
            <wp:docPr id="4" name="Picture 4"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75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8752" behindDoc="1" locked="0" layoutInCell="1" allowOverlap="1" wp14:anchorId="444C1EDF" wp14:editId="374938DD">
            <wp:simplePos x="0" y="0"/>
            <wp:positionH relativeFrom="column">
              <wp:posOffset>2786380</wp:posOffset>
            </wp:positionH>
            <wp:positionV relativeFrom="paragraph">
              <wp:posOffset>-457835</wp:posOffset>
            </wp:positionV>
            <wp:extent cx="1134110" cy="756285"/>
            <wp:effectExtent l="0" t="0" r="889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5680" behindDoc="0" locked="0" layoutInCell="1" allowOverlap="1" wp14:anchorId="0F1746B0" wp14:editId="0AFF7D98">
            <wp:simplePos x="0" y="0"/>
            <wp:positionH relativeFrom="column">
              <wp:posOffset>5038090</wp:posOffset>
            </wp:positionH>
            <wp:positionV relativeFrom="paragraph">
              <wp:posOffset>-269875</wp:posOffset>
            </wp:positionV>
            <wp:extent cx="466725" cy="5670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6705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7D3DD7" w:rsidRDefault="007D3DD7" w:rsidP="007D3DD7">
      <w:pPr>
        <w:ind w:right="-6"/>
      </w:pPr>
    </w:p>
    <w:p w:rsidR="007D3DD7" w:rsidRDefault="007D3DD7" w:rsidP="007D3DD7">
      <w:pPr>
        <w:ind w:right="-6"/>
      </w:pPr>
    </w:p>
    <w:p w:rsidR="007D3DD7" w:rsidRDefault="007D3DD7" w:rsidP="007D3DD7">
      <w:pPr>
        <w:pStyle w:val="NoSpacing"/>
        <w:ind w:right="-6"/>
        <w:jc w:val="center"/>
        <w:rPr>
          <w:sz w:val="28"/>
          <w:szCs w:val="28"/>
          <w:lang w:val="bs-Latn-BA"/>
        </w:rPr>
      </w:pPr>
    </w:p>
    <w:p w:rsidR="007D3DD7" w:rsidRDefault="007D3DD7" w:rsidP="007D3DD7">
      <w:pPr>
        <w:pStyle w:val="NoSpacing"/>
        <w:ind w:right="-6"/>
        <w:rPr>
          <w:lang w:val="bs-Latn-BA"/>
        </w:rPr>
      </w:pPr>
    </w:p>
    <w:p w:rsidR="007D3DD7" w:rsidRDefault="007D3DD7"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991619" w:rsidRDefault="00991619" w:rsidP="007D3DD7">
      <w:pPr>
        <w:pStyle w:val="NoSpacing"/>
        <w:ind w:right="-6"/>
        <w:jc w:val="center"/>
        <w:rPr>
          <w:sz w:val="28"/>
          <w:szCs w:val="28"/>
          <w:lang w:val="bs-Latn-BA"/>
        </w:rPr>
      </w:pPr>
    </w:p>
    <w:p w:rsidR="00991619" w:rsidRDefault="00991619"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7D3DD7" w:rsidRDefault="007D3DD7" w:rsidP="007D3DD7">
      <w:pPr>
        <w:pStyle w:val="NoSpacing"/>
        <w:ind w:right="-6"/>
        <w:jc w:val="center"/>
        <w:rPr>
          <w:sz w:val="28"/>
          <w:szCs w:val="28"/>
          <w:lang w:val="bs-Latn-BA"/>
        </w:rPr>
      </w:pPr>
    </w:p>
    <w:p w:rsidR="007D3DD7" w:rsidRPr="00E3025E" w:rsidRDefault="007D3DD7" w:rsidP="007D3DD7">
      <w:pPr>
        <w:pStyle w:val="Subtitle"/>
        <w:ind w:right="-6"/>
        <w:jc w:val="center"/>
        <w:rPr>
          <w:rFonts w:eastAsia="Calibri" w:cs="Calibri"/>
          <w:b/>
          <w:i w:val="0"/>
          <w:iCs w:val="0"/>
          <w:color w:val="auto"/>
          <w:spacing w:val="0"/>
          <w:sz w:val="28"/>
          <w:szCs w:val="28"/>
          <w:lang w:val="en-US"/>
        </w:rPr>
      </w:pPr>
      <w:r w:rsidRPr="00E3025E">
        <w:rPr>
          <w:rFonts w:eastAsia="Calibri" w:cs="Calibri"/>
          <w:b/>
          <w:i w:val="0"/>
          <w:iCs w:val="0"/>
          <w:color w:val="auto"/>
          <w:spacing w:val="0"/>
          <w:sz w:val="28"/>
          <w:szCs w:val="28"/>
          <w:lang w:val="en-US"/>
        </w:rPr>
        <w:t xml:space="preserve">PRAĆENJE REFORME JAVNE UPRAVE U BOSNI I HERCEGOVINI: ANALIZA REZULTATA U OBLASTI UPRAVLJANJA LJUDSKIM POTENCIJALIMA (HRM) U </w:t>
      </w:r>
      <w:r>
        <w:rPr>
          <w:rFonts w:eastAsia="Calibri" w:cs="Calibri"/>
          <w:b/>
          <w:i w:val="0"/>
          <w:iCs w:val="0"/>
          <w:color w:val="auto"/>
          <w:spacing w:val="0"/>
          <w:sz w:val="28"/>
          <w:szCs w:val="28"/>
          <w:lang w:val="en-US"/>
        </w:rPr>
        <w:t>2015. GODINI</w:t>
      </w:r>
    </w:p>
    <w:p w:rsidR="007D3DD7" w:rsidRDefault="007D3DD7" w:rsidP="007D3DD7">
      <w:pPr>
        <w:pStyle w:val="NoSpacing"/>
        <w:spacing w:before="240"/>
        <w:ind w:right="-6"/>
        <w:jc w:val="center"/>
        <w:rPr>
          <w:lang w:val="bs-Latn-BA"/>
        </w:rPr>
      </w:pPr>
      <w:r>
        <w:rPr>
          <w:lang w:val="bs-Latn-BA"/>
        </w:rPr>
        <w:t>-FINALNI IZVJEŠTAJ-</w:t>
      </w:r>
    </w:p>
    <w:p w:rsidR="007D3DD7" w:rsidRDefault="007D3DD7" w:rsidP="007D3DD7">
      <w:pPr>
        <w:pStyle w:val="NoSpacing"/>
        <w:ind w:right="-6"/>
        <w:jc w:val="center"/>
        <w:rPr>
          <w:b/>
          <w:lang w:val="bs-Latn-BA"/>
        </w:rPr>
      </w:pPr>
    </w:p>
    <w:p w:rsidR="007D3DD7" w:rsidRDefault="007D3DD7" w:rsidP="007D3DD7">
      <w:pPr>
        <w:pStyle w:val="NoSpacing"/>
        <w:ind w:right="-6"/>
        <w:jc w:val="center"/>
        <w:rPr>
          <w:b/>
          <w:lang w:val="bs-Latn-BA"/>
        </w:rPr>
      </w:pPr>
    </w:p>
    <w:p w:rsidR="007D3DD7" w:rsidRDefault="007D3DD7" w:rsidP="007D3DD7">
      <w:pPr>
        <w:pStyle w:val="NoSpacing"/>
        <w:ind w:right="-6"/>
        <w:jc w:val="center"/>
        <w:rPr>
          <w:lang w:val="bs-Latn-BA"/>
        </w:rPr>
      </w:pPr>
    </w:p>
    <w:p w:rsidR="007D3DD7" w:rsidRDefault="007D3DD7" w:rsidP="007D3DD7">
      <w:pPr>
        <w:pStyle w:val="NoSpacing"/>
        <w:ind w:right="-6"/>
        <w:rPr>
          <w:lang w:val="bs-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Default="007D3DD7" w:rsidP="007D3DD7">
      <w:pPr>
        <w:ind w:right="-6"/>
        <w:rPr>
          <w:i/>
          <w:lang w:val="sr-Latn-BA"/>
        </w:rPr>
      </w:pPr>
    </w:p>
    <w:p w:rsidR="007D3DD7" w:rsidRPr="00957337" w:rsidRDefault="007D3DD7" w:rsidP="007D3DD7">
      <w:pPr>
        <w:spacing w:line="276" w:lineRule="auto"/>
        <w:ind w:right="-6"/>
        <w:jc w:val="center"/>
        <w:rPr>
          <w:rFonts w:ascii="Calibri" w:eastAsia="Calibri" w:hAnsi="Calibri"/>
          <w:i/>
          <w:sz w:val="22"/>
          <w:szCs w:val="22"/>
          <w:lang w:val="sr-Latn-BA"/>
        </w:rPr>
      </w:pPr>
      <w:r w:rsidRPr="00957337">
        <w:rPr>
          <w:rFonts w:ascii="Calibri" w:eastAsia="Calibri" w:hAnsi="Calibri"/>
          <w:i/>
          <w:sz w:val="22"/>
          <w:szCs w:val="22"/>
          <w:lang w:val="sr-Latn-BA"/>
        </w:rPr>
        <w:t>Ovaj dokument sačinjen je u okviru projekta Monitoring reforme javne uprave (PARM), implementiran od strane TI BiH i CIN-a, uz finansijsku podršku Švedske međunarodne agencije za razvoj (SIDA) i Vlade Danske. Mišljenja i stavovi u ovom dokumentu predstavljaju isključivo stavove TI BiH-a i ni na koji način ne odražavaju stavove SIDA-e ili Vlade Danske.</w:t>
      </w:r>
    </w:p>
    <w:p w:rsidR="007D3DD7" w:rsidRPr="00957337" w:rsidRDefault="007D3DD7" w:rsidP="007D3DD7">
      <w:pPr>
        <w:spacing w:before="240" w:after="200" w:line="276" w:lineRule="auto"/>
        <w:ind w:right="-6"/>
        <w:jc w:val="center"/>
        <w:rPr>
          <w:rFonts w:ascii="Calibri" w:eastAsia="Calibri" w:hAnsi="Calibri"/>
          <w:b/>
          <w:sz w:val="22"/>
          <w:szCs w:val="22"/>
          <w:lang w:val="sr-Latn-BA"/>
        </w:rPr>
      </w:pPr>
      <w:r>
        <w:rPr>
          <w:rFonts w:ascii="Calibri" w:eastAsia="Calibri" w:hAnsi="Calibri"/>
          <w:b/>
          <w:sz w:val="22"/>
          <w:szCs w:val="22"/>
          <w:lang w:val="sr-Latn-BA"/>
        </w:rPr>
        <w:t>Mart 2016</w:t>
      </w:r>
      <w:r w:rsidRPr="00957337">
        <w:rPr>
          <w:rFonts w:ascii="Calibri" w:eastAsia="Calibri" w:hAnsi="Calibri"/>
          <w:b/>
          <w:sz w:val="22"/>
          <w:szCs w:val="22"/>
          <w:lang w:val="sr-Latn-BA"/>
        </w:rPr>
        <w:t>.</w:t>
      </w:r>
    </w:p>
    <w:p w:rsidR="00976929" w:rsidRPr="0041049B" w:rsidRDefault="0041049B" w:rsidP="0041049B">
      <w:pPr>
        <w:pStyle w:val="NoSpacing"/>
        <w:spacing w:before="240"/>
        <w:ind w:right="-6"/>
        <w:rPr>
          <w:b/>
          <w:lang w:val="bs-Latn-BA"/>
        </w:rPr>
      </w:pPr>
      <w:r w:rsidRPr="0041049B">
        <w:rPr>
          <w:b/>
          <w:lang w:val="bs-Latn-BA"/>
        </w:rPr>
        <w:lastRenderedPageBreak/>
        <w:t>UVOD</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Transparency International BiH, uz podršku švedske razvojne agencije SIDA, vodi projekat praćenja napretka u reformi javne uprave u BiH (PARM). Ovaj izvještaj se odnosi na napredak ostvaren u 2015. godini, a fokusira se na reformsku oblast upravljanje ljudskim potencijalima (HRM). </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2539BD"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Metodološki gledano, </w:t>
      </w:r>
      <w:r w:rsidR="004E3A71" w:rsidRPr="007D3DD7">
        <w:rPr>
          <w:rFonts w:asciiTheme="majorHAnsi" w:hAnsiTheme="majorHAnsi"/>
          <w:sz w:val="22"/>
          <w:szCs w:val="22"/>
          <w:lang w:val="bs-Latn-BA"/>
        </w:rPr>
        <w:t>procjena napretka u provedbi</w:t>
      </w:r>
      <w:r w:rsidRPr="007D3DD7">
        <w:rPr>
          <w:rFonts w:asciiTheme="majorHAnsi" w:hAnsiTheme="majorHAnsi"/>
          <w:sz w:val="22"/>
          <w:szCs w:val="22"/>
          <w:lang w:val="bs-Latn-BA"/>
        </w:rPr>
        <w:t xml:space="preserve"> reformi </w:t>
      </w:r>
      <w:r w:rsidR="00976929" w:rsidRPr="007D3DD7">
        <w:rPr>
          <w:rFonts w:asciiTheme="majorHAnsi" w:hAnsiTheme="majorHAnsi"/>
          <w:sz w:val="22"/>
          <w:szCs w:val="22"/>
          <w:lang w:val="bs-Latn-BA"/>
        </w:rPr>
        <w:t xml:space="preserve">u ovoj oblasti </w:t>
      </w:r>
      <w:r w:rsidR="004E3A71" w:rsidRPr="007D3DD7">
        <w:rPr>
          <w:rFonts w:asciiTheme="majorHAnsi" w:hAnsiTheme="majorHAnsi"/>
          <w:sz w:val="22"/>
          <w:szCs w:val="22"/>
          <w:lang w:val="bs-Latn-BA"/>
        </w:rPr>
        <w:t>zasnovana</w:t>
      </w:r>
      <w:r w:rsidRPr="007D3DD7">
        <w:rPr>
          <w:rFonts w:asciiTheme="majorHAnsi" w:hAnsiTheme="majorHAnsi"/>
          <w:sz w:val="22"/>
          <w:szCs w:val="22"/>
          <w:lang w:val="bs-Latn-BA"/>
        </w:rPr>
        <w:t xml:space="preserve"> </w:t>
      </w:r>
      <w:r w:rsidR="004E3A71" w:rsidRPr="007D3DD7">
        <w:rPr>
          <w:rFonts w:asciiTheme="majorHAnsi" w:hAnsiTheme="majorHAnsi"/>
          <w:sz w:val="22"/>
          <w:szCs w:val="22"/>
          <w:lang w:val="bs-Latn-BA"/>
        </w:rPr>
        <w:t>j</w:t>
      </w:r>
      <w:r w:rsidRPr="007D3DD7">
        <w:rPr>
          <w:rFonts w:asciiTheme="majorHAnsi" w:hAnsiTheme="majorHAnsi"/>
          <w:sz w:val="22"/>
          <w:szCs w:val="22"/>
          <w:lang w:val="bs-Latn-BA"/>
        </w:rPr>
        <w:t xml:space="preserve">e na dvjema </w:t>
      </w:r>
      <w:r w:rsidR="00976929" w:rsidRPr="007D3DD7">
        <w:rPr>
          <w:rFonts w:asciiTheme="majorHAnsi" w:hAnsiTheme="majorHAnsi"/>
          <w:sz w:val="22"/>
          <w:szCs w:val="22"/>
          <w:lang w:val="bs-Latn-BA"/>
        </w:rPr>
        <w:t>korelacija</w:t>
      </w:r>
      <w:r w:rsidRPr="007D3DD7">
        <w:rPr>
          <w:rFonts w:asciiTheme="majorHAnsi" w:hAnsiTheme="majorHAnsi"/>
          <w:sz w:val="22"/>
          <w:szCs w:val="22"/>
          <w:lang w:val="bs-Latn-BA"/>
        </w:rPr>
        <w:t>ma</w:t>
      </w:r>
      <w:r w:rsidR="00976929" w:rsidRPr="007D3DD7">
        <w:rPr>
          <w:rFonts w:asciiTheme="majorHAnsi" w:hAnsiTheme="majorHAnsi"/>
          <w:sz w:val="22"/>
          <w:szCs w:val="22"/>
          <w:lang w:val="bs-Latn-BA"/>
        </w:rPr>
        <w:t xml:space="preserve">: </w:t>
      </w:r>
      <w:r w:rsidR="004E3A71" w:rsidRPr="007D3DD7">
        <w:rPr>
          <w:rFonts w:asciiTheme="majorHAnsi" w:hAnsiTheme="majorHAnsi"/>
          <w:sz w:val="22"/>
          <w:szCs w:val="22"/>
          <w:lang w:val="bs-Latn-BA"/>
        </w:rPr>
        <w:t>1</w:t>
      </w:r>
      <w:r w:rsidR="00976929" w:rsidRPr="007D3DD7">
        <w:rPr>
          <w:rFonts w:asciiTheme="majorHAnsi" w:hAnsiTheme="majorHAnsi"/>
          <w:sz w:val="22"/>
          <w:szCs w:val="22"/>
          <w:lang w:val="bs-Latn-BA"/>
        </w:rPr>
        <w:t xml:space="preserve">) </w:t>
      </w:r>
      <w:r w:rsidRPr="007D3DD7">
        <w:rPr>
          <w:rFonts w:asciiTheme="majorHAnsi" w:hAnsiTheme="majorHAnsi"/>
          <w:sz w:val="22"/>
          <w:szCs w:val="22"/>
          <w:lang w:val="bs-Latn-BA"/>
        </w:rPr>
        <w:t xml:space="preserve">odnos </w:t>
      </w:r>
      <w:r w:rsidR="00976929" w:rsidRPr="007D3DD7">
        <w:rPr>
          <w:rFonts w:asciiTheme="majorHAnsi" w:hAnsiTheme="majorHAnsi"/>
          <w:sz w:val="22"/>
          <w:szCs w:val="22"/>
          <w:lang w:val="bs-Latn-BA"/>
        </w:rPr>
        <w:t>poduzet</w:t>
      </w:r>
      <w:r w:rsidRPr="007D3DD7">
        <w:rPr>
          <w:rFonts w:asciiTheme="majorHAnsi" w:hAnsiTheme="majorHAnsi"/>
          <w:sz w:val="22"/>
          <w:szCs w:val="22"/>
          <w:lang w:val="bs-Latn-BA"/>
        </w:rPr>
        <w:t xml:space="preserve">ih </w:t>
      </w:r>
      <w:r w:rsidR="00976929" w:rsidRPr="007D3DD7">
        <w:rPr>
          <w:rFonts w:asciiTheme="majorHAnsi" w:hAnsiTheme="majorHAnsi"/>
          <w:sz w:val="22"/>
          <w:szCs w:val="22"/>
          <w:lang w:val="bs-Latn-BA"/>
        </w:rPr>
        <w:t>aktivn</w:t>
      </w:r>
      <w:r w:rsidR="004E3A71" w:rsidRPr="007D3DD7">
        <w:rPr>
          <w:rFonts w:asciiTheme="majorHAnsi" w:hAnsiTheme="majorHAnsi"/>
          <w:sz w:val="22"/>
          <w:szCs w:val="22"/>
          <w:lang w:val="bs-Latn-BA"/>
        </w:rPr>
        <w:t>osti i ostvarenih rezultata; i 2</w:t>
      </w:r>
      <w:r w:rsidR="00976929" w:rsidRPr="007D3DD7">
        <w:rPr>
          <w:rFonts w:asciiTheme="majorHAnsi" w:hAnsiTheme="majorHAnsi"/>
          <w:sz w:val="22"/>
          <w:szCs w:val="22"/>
          <w:lang w:val="bs-Latn-BA"/>
        </w:rPr>
        <w:t xml:space="preserve">) </w:t>
      </w:r>
      <w:r w:rsidRPr="007D3DD7">
        <w:rPr>
          <w:rFonts w:asciiTheme="majorHAnsi" w:hAnsiTheme="majorHAnsi"/>
          <w:sz w:val="22"/>
          <w:szCs w:val="22"/>
          <w:lang w:val="bs-Latn-BA"/>
        </w:rPr>
        <w:t xml:space="preserve">odnos </w:t>
      </w:r>
      <w:r w:rsidR="00976929" w:rsidRPr="007D3DD7">
        <w:rPr>
          <w:rFonts w:asciiTheme="majorHAnsi" w:hAnsiTheme="majorHAnsi"/>
          <w:sz w:val="22"/>
          <w:szCs w:val="22"/>
          <w:lang w:val="bs-Latn-BA"/>
        </w:rPr>
        <w:t>ostvarenih rezultata i uloženih resursa. Iako su aktivnosti na prikupljanju podataka za potrebe prošlogodišnjeg izvještaja pokazale da nije ni malo jednostavno doći do egzaktnih pokazatelj</w:t>
      </w:r>
      <w:r w:rsidR="004E3A71" w:rsidRPr="007D3DD7">
        <w:rPr>
          <w:rFonts w:asciiTheme="majorHAnsi" w:hAnsiTheme="majorHAnsi"/>
          <w:sz w:val="22"/>
          <w:szCs w:val="22"/>
          <w:lang w:val="bs-Latn-BA"/>
        </w:rPr>
        <w:t>a o ulože</w:t>
      </w:r>
      <w:r w:rsidR="00976929" w:rsidRPr="007D3DD7">
        <w:rPr>
          <w:rFonts w:asciiTheme="majorHAnsi" w:hAnsiTheme="majorHAnsi"/>
          <w:sz w:val="22"/>
          <w:szCs w:val="22"/>
          <w:lang w:val="bs-Latn-BA"/>
        </w:rPr>
        <w:t>nim resursima, TI BiH je odlučio da parametar 'u</w:t>
      </w:r>
      <w:r w:rsidR="004E3A71" w:rsidRPr="007D3DD7">
        <w:rPr>
          <w:rFonts w:asciiTheme="majorHAnsi" w:hAnsiTheme="majorHAnsi"/>
          <w:sz w:val="22"/>
          <w:szCs w:val="22"/>
          <w:lang w:val="bs-Latn-BA"/>
        </w:rPr>
        <w:t>loženi</w:t>
      </w:r>
      <w:r w:rsidR="00976929" w:rsidRPr="007D3DD7">
        <w:rPr>
          <w:rFonts w:asciiTheme="majorHAnsi" w:hAnsiTheme="majorHAnsi"/>
          <w:sz w:val="22"/>
          <w:szCs w:val="22"/>
          <w:lang w:val="bs-Latn-BA"/>
        </w:rPr>
        <w:t xml:space="preserve"> resursi' ipak zadrži kao dio cjelokupne analize. Logika je jednostavna: podaci o </w:t>
      </w:r>
      <w:r w:rsidR="004E3A71" w:rsidRPr="007D3DD7">
        <w:rPr>
          <w:rFonts w:asciiTheme="majorHAnsi" w:hAnsiTheme="majorHAnsi"/>
          <w:sz w:val="22"/>
          <w:szCs w:val="22"/>
          <w:lang w:val="bs-Latn-BA"/>
        </w:rPr>
        <w:t xml:space="preserve">utrošku resursa, makar bili </w:t>
      </w:r>
      <w:r w:rsidR="00976929" w:rsidRPr="007D3DD7">
        <w:rPr>
          <w:rFonts w:asciiTheme="majorHAnsi" w:hAnsiTheme="majorHAnsi"/>
          <w:sz w:val="22"/>
          <w:szCs w:val="22"/>
          <w:lang w:val="bs-Latn-BA"/>
        </w:rPr>
        <w:t xml:space="preserve">približno tačni, ipak pružaju mogućnost kakve-takve kontekstualizacije ostvarenih rezultata. Eventualno odustajanje od ovog parametra dovelo </w:t>
      </w:r>
      <w:r w:rsidR="004E3A71" w:rsidRPr="007D3DD7">
        <w:rPr>
          <w:rFonts w:asciiTheme="majorHAnsi" w:hAnsiTheme="majorHAnsi"/>
          <w:sz w:val="22"/>
          <w:szCs w:val="22"/>
          <w:lang w:val="bs-Latn-BA"/>
        </w:rPr>
        <w:t xml:space="preserve">bi </w:t>
      </w:r>
      <w:r w:rsidR="00976929" w:rsidRPr="007D3DD7">
        <w:rPr>
          <w:rFonts w:asciiTheme="majorHAnsi" w:hAnsiTheme="majorHAnsi"/>
          <w:sz w:val="22"/>
          <w:szCs w:val="22"/>
          <w:lang w:val="bs-Latn-BA"/>
        </w:rPr>
        <w:t xml:space="preserve">do toga da npr. jedan usvojen pravilnik kao rezultat milionskog projekta, odnosno isti takav rezultat kao plod samostalnih napora jedne institucije (koji su iziskivali minimalne resurse) budu vrednovani na isti način. </w:t>
      </w:r>
    </w:p>
    <w:p w:rsidR="00976929" w:rsidRPr="007D3DD7" w:rsidRDefault="00976929" w:rsidP="00976929">
      <w:pPr>
        <w:spacing w:before="60" w:after="60"/>
        <w:jc w:val="both"/>
        <w:rPr>
          <w:rFonts w:asciiTheme="majorHAnsi" w:hAnsiTheme="majorHAnsi"/>
          <w:sz w:val="22"/>
          <w:szCs w:val="22"/>
          <w:lang w:val="bs-Latn-BA"/>
        </w:rPr>
      </w:pPr>
    </w:p>
    <w:p w:rsidR="004E3A71" w:rsidRPr="007D3DD7" w:rsidRDefault="004E3A71"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Osnovni izvori podataka o reformskim aktivnostima za </w:t>
      </w:r>
      <w:r w:rsidR="00222614" w:rsidRPr="007D3DD7">
        <w:rPr>
          <w:rFonts w:asciiTheme="majorHAnsi" w:hAnsiTheme="majorHAnsi"/>
          <w:sz w:val="22"/>
          <w:szCs w:val="22"/>
          <w:lang w:val="bs-Latn-BA"/>
        </w:rPr>
        <w:t xml:space="preserve">2015. godinu ostali su isti kao i prošle godine. Dakle, TI BiH se i ove godine oslonio na kombinaciju analize dostupnih izvještaja o RJU u BiH (i.e. PARCO, SIGMA, EU Delegacija) i kvalitativnog istraživanja koje je obuhvatilo po petnaest institucija sa državnog i entitetskog nivoa (i.e. BiH nivo – 15; FBiH – 15; RS – 15; BD – 1). </w:t>
      </w:r>
      <w:r w:rsidR="00534282" w:rsidRPr="007D3DD7">
        <w:rPr>
          <w:rFonts w:asciiTheme="majorHAnsi" w:hAnsiTheme="majorHAnsi"/>
          <w:sz w:val="22"/>
          <w:szCs w:val="22"/>
          <w:lang w:val="bs-Latn-BA"/>
        </w:rPr>
        <w:t>Za razliku od prošle godine, ovo i</w:t>
      </w:r>
      <w:r w:rsidR="00222614" w:rsidRPr="007D3DD7">
        <w:rPr>
          <w:rFonts w:asciiTheme="majorHAnsi" w:hAnsiTheme="majorHAnsi"/>
          <w:sz w:val="22"/>
          <w:szCs w:val="22"/>
          <w:lang w:val="bs-Latn-BA"/>
        </w:rPr>
        <w:t xml:space="preserve">straživanje </w:t>
      </w:r>
      <w:r w:rsidR="00534282" w:rsidRPr="007D3DD7">
        <w:rPr>
          <w:rFonts w:asciiTheme="majorHAnsi" w:hAnsiTheme="majorHAnsi"/>
          <w:sz w:val="22"/>
          <w:szCs w:val="22"/>
          <w:lang w:val="bs-Latn-BA"/>
        </w:rPr>
        <w:t xml:space="preserve">je bilo opsežnije kako u smislu broja institucija koje su uzele aktivno učešće (18 institucija za 2014. godinu, nasuprot 30 </w:t>
      </w:r>
      <w:r w:rsidR="008A0596" w:rsidRPr="007D3DD7">
        <w:rPr>
          <w:rFonts w:asciiTheme="majorHAnsi" w:hAnsiTheme="majorHAnsi"/>
          <w:sz w:val="22"/>
          <w:szCs w:val="22"/>
          <w:lang w:val="bs-Latn-BA"/>
        </w:rPr>
        <w:t>institucija za 2015.</w:t>
      </w:r>
      <w:r w:rsidR="00534282" w:rsidRPr="007D3DD7">
        <w:rPr>
          <w:rFonts w:asciiTheme="majorHAnsi" w:hAnsiTheme="majorHAnsi"/>
          <w:sz w:val="22"/>
          <w:szCs w:val="22"/>
          <w:lang w:val="bs-Latn-BA"/>
        </w:rPr>
        <w:t>)</w:t>
      </w:r>
      <w:r w:rsidR="008A0596" w:rsidRPr="007D3DD7">
        <w:rPr>
          <w:rFonts w:asciiTheme="majorHAnsi" w:hAnsiTheme="majorHAnsi"/>
          <w:sz w:val="22"/>
          <w:szCs w:val="22"/>
          <w:lang w:val="bs-Latn-BA"/>
        </w:rPr>
        <w:t xml:space="preserve">, tako i u smislu opsega </w:t>
      </w:r>
      <w:r w:rsidR="00222614" w:rsidRPr="007D3DD7">
        <w:rPr>
          <w:rFonts w:asciiTheme="majorHAnsi" w:hAnsiTheme="majorHAnsi"/>
          <w:sz w:val="22"/>
          <w:szCs w:val="22"/>
          <w:lang w:val="bs-Latn-BA"/>
        </w:rPr>
        <w:t>pitanj</w:t>
      </w:r>
      <w:r w:rsidR="008A0596" w:rsidRPr="007D3DD7">
        <w:rPr>
          <w:rFonts w:asciiTheme="majorHAnsi" w:hAnsiTheme="majorHAnsi"/>
          <w:sz w:val="22"/>
          <w:szCs w:val="22"/>
          <w:lang w:val="bs-Latn-BA"/>
        </w:rPr>
        <w:t xml:space="preserve">a koja su ove godine uključila i dvije dodatne </w:t>
      </w:r>
      <w:r w:rsidR="00222614" w:rsidRPr="007D3DD7">
        <w:rPr>
          <w:rFonts w:asciiTheme="majorHAnsi" w:hAnsiTheme="majorHAnsi"/>
          <w:sz w:val="22"/>
          <w:szCs w:val="22"/>
          <w:lang w:val="bs-Latn-BA"/>
        </w:rPr>
        <w:t>oblasti</w:t>
      </w:r>
      <w:r w:rsidR="008A0596" w:rsidRPr="007D3DD7">
        <w:rPr>
          <w:rFonts w:asciiTheme="majorHAnsi" w:hAnsiTheme="majorHAnsi"/>
          <w:sz w:val="22"/>
          <w:szCs w:val="22"/>
          <w:lang w:val="bs-Latn-BA"/>
        </w:rPr>
        <w:t>:</w:t>
      </w:r>
      <w:r w:rsidR="00222614" w:rsidRPr="007D3DD7">
        <w:rPr>
          <w:rFonts w:asciiTheme="majorHAnsi" w:hAnsiTheme="majorHAnsi"/>
          <w:sz w:val="22"/>
          <w:szCs w:val="22"/>
          <w:lang w:val="bs-Latn-BA"/>
        </w:rPr>
        <w:t xml:space="preserve"> </w:t>
      </w:r>
      <w:r w:rsidR="008A0596" w:rsidRPr="007D3DD7">
        <w:rPr>
          <w:rFonts w:asciiTheme="majorHAnsi" w:hAnsiTheme="majorHAnsi"/>
          <w:sz w:val="22"/>
          <w:szCs w:val="22"/>
          <w:lang w:val="bs-Latn-BA"/>
        </w:rPr>
        <w:t xml:space="preserve">stepen </w:t>
      </w:r>
      <w:r w:rsidR="00222614" w:rsidRPr="007D3DD7">
        <w:rPr>
          <w:rFonts w:asciiTheme="majorHAnsi" w:hAnsiTheme="majorHAnsi"/>
          <w:sz w:val="22"/>
          <w:szCs w:val="22"/>
          <w:lang w:val="bs-Latn-BA"/>
        </w:rPr>
        <w:t>politiza</w:t>
      </w:r>
      <w:r w:rsidR="00D53624" w:rsidRPr="007D3DD7">
        <w:rPr>
          <w:rFonts w:asciiTheme="majorHAnsi" w:hAnsiTheme="majorHAnsi"/>
          <w:sz w:val="22"/>
          <w:szCs w:val="22"/>
          <w:lang w:val="bs-Latn-BA"/>
        </w:rPr>
        <w:t>cije državne službe i kvalitet</w:t>
      </w:r>
      <w:r w:rsidR="00222614" w:rsidRPr="007D3DD7">
        <w:rPr>
          <w:rFonts w:asciiTheme="majorHAnsi" w:hAnsiTheme="majorHAnsi"/>
          <w:sz w:val="22"/>
          <w:szCs w:val="22"/>
          <w:lang w:val="bs-Latn-BA"/>
        </w:rPr>
        <w:t xml:space="preserve"> upravljačkog/menadžerskog kadra u </w:t>
      </w:r>
      <w:r w:rsidR="00534282" w:rsidRPr="007D3DD7">
        <w:rPr>
          <w:rFonts w:asciiTheme="majorHAnsi" w:hAnsiTheme="majorHAnsi"/>
          <w:sz w:val="22"/>
          <w:szCs w:val="22"/>
          <w:lang w:val="bs-Latn-BA"/>
        </w:rPr>
        <w:t xml:space="preserve">pojedinačnim institucijama. </w:t>
      </w:r>
    </w:p>
    <w:p w:rsidR="00222614" w:rsidRPr="007D3DD7" w:rsidRDefault="00222614"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U osnovi, prikupljeni podaci ukazuju da se u 2015. godini prilično intenzivno radilo na reformama u oblasti HRM-a, mada su krajnji rezultati dosta ograničeni. Velika većina aktivnosti inicirana je i vođena od strane EU projekta </w:t>
      </w:r>
      <w:r w:rsidR="00D23EA7" w:rsidRPr="007D3DD7">
        <w:rPr>
          <w:rFonts w:asciiTheme="majorHAnsi" w:hAnsiTheme="majorHAnsi"/>
          <w:i/>
          <w:sz w:val="22"/>
          <w:szCs w:val="22"/>
          <w:lang w:val="bs-Latn-BA"/>
        </w:rPr>
        <w:t>Modernizacija sistema upravljanja ljudskim potencijalima državnoj službi</w:t>
      </w:r>
      <w:r w:rsidR="00D23EA7" w:rsidRPr="007D3DD7">
        <w:rPr>
          <w:rFonts w:asciiTheme="majorHAnsi" w:hAnsiTheme="majorHAnsi"/>
          <w:sz w:val="22"/>
          <w:szCs w:val="22"/>
          <w:lang w:val="bs-Latn-BA"/>
        </w:rPr>
        <w:t xml:space="preserve"> (</w:t>
      </w:r>
      <w:r w:rsidR="00584214" w:rsidRPr="007D3DD7">
        <w:rPr>
          <w:rFonts w:asciiTheme="majorHAnsi" w:hAnsiTheme="majorHAnsi"/>
          <w:sz w:val="22"/>
          <w:szCs w:val="22"/>
          <w:lang w:val="bs-Latn-BA"/>
        </w:rPr>
        <w:t>EU-HRM</w:t>
      </w:r>
      <w:r w:rsidR="00D23EA7" w:rsidRPr="007D3DD7">
        <w:rPr>
          <w:rFonts w:asciiTheme="majorHAnsi" w:hAnsiTheme="majorHAnsi"/>
          <w:sz w:val="22"/>
          <w:szCs w:val="22"/>
          <w:lang w:val="bs-Latn-BA"/>
        </w:rPr>
        <w:t>).</w:t>
      </w:r>
      <w:r w:rsidRPr="007D3DD7">
        <w:rPr>
          <w:rFonts w:asciiTheme="majorHAnsi" w:hAnsiTheme="majorHAnsi"/>
          <w:sz w:val="22"/>
          <w:szCs w:val="22"/>
          <w:lang w:val="bs-Latn-BA"/>
        </w:rPr>
        <w:t xml:space="preserve"> </w:t>
      </w:r>
      <w:r w:rsidR="008A0596" w:rsidRPr="007D3DD7">
        <w:rPr>
          <w:rFonts w:asciiTheme="majorHAnsi" w:hAnsiTheme="majorHAnsi"/>
          <w:sz w:val="22"/>
          <w:szCs w:val="22"/>
          <w:lang w:val="bs-Latn-BA"/>
        </w:rPr>
        <w:t>Iako su planovi spomenutog</w:t>
      </w:r>
      <w:r w:rsidRPr="007D3DD7">
        <w:rPr>
          <w:rFonts w:asciiTheme="majorHAnsi" w:hAnsiTheme="majorHAnsi"/>
          <w:sz w:val="22"/>
          <w:szCs w:val="22"/>
          <w:lang w:val="bs-Latn-BA"/>
        </w:rPr>
        <w:t xml:space="preserve"> projekta predviđali usvajanje niza novih procedura i praksi u različitim oblastima HRM-a, u konačnici je malo toga realizirano prevashodno zbog izostanka političke podrške. </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I ove godine proces prikupljanja podataka </w:t>
      </w:r>
      <w:r w:rsidR="008A0596" w:rsidRPr="007D3DD7">
        <w:rPr>
          <w:rFonts w:asciiTheme="majorHAnsi" w:hAnsiTheme="majorHAnsi"/>
          <w:sz w:val="22"/>
          <w:szCs w:val="22"/>
          <w:lang w:val="bs-Latn-BA"/>
        </w:rPr>
        <w:t xml:space="preserve">je </w:t>
      </w:r>
      <w:r w:rsidRPr="007D3DD7">
        <w:rPr>
          <w:rFonts w:asciiTheme="majorHAnsi" w:hAnsiTheme="majorHAnsi"/>
          <w:sz w:val="22"/>
          <w:szCs w:val="22"/>
          <w:lang w:val="bs-Latn-BA"/>
        </w:rPr>
        <w:t xml:space="preserve">pokazao da su predstavnici institucija prilično ravnodušni prema RJU i da je jasno vidljiva averzija prema bilo kakvim nastojanjima da se dođe do podataka o </w:t>
      </w:r>
      <w:r w:rsidR="008A0596" w:rsidRPr="007D3DD7">
        <w:rPr>
          <w:rFonts w:asciiTheme="majorHAnsi" w:hAnsiTheme="majorHAnsi"/>
          <w:sz w:val="22"/>
          <w:szCs w:val="22"/>
          <w:lang w:val="bs-Latn-BA"/>
        </w:rPr>
        <w:t xml:space="preserve">provedbi </w:t>
      </w:r>
      <w:r w:rsidRPr="007D3DD7">
        <w:rPr>
          <w:rFonts w:asciiTheme="majorHAnsi" w:hAnsiTheme="majorHAnsi"/>
          <w:sz w:val="22"/>
          <w:szCs w:val="22"/>
          <w:lang w:val="bs-Latn-BA"/>
        </w:rPr>
        <w:t>reform</w:t>
      </w:r>
      <w:r w:rsidR="008A0596" w:rsidRPr="007D3DD7">
        <w:rPr>
          <w:rFonts w:asciiTheme="majorHAnsi" w:hAnsiTheme="majorHAnsi"/>
          <w:sz w:val="22"/>
          <w:szCs w:val="22"/>
          <w:lang w:val="bs-Latn-BA"/>
        </w:rPr>
        <w:t>i</w:t>
      </w:r>
      <w:r w:rsidRPr="007D3DD7">
        <w:rPr>
          <w:rFonts w:asciiTheme="majorHAnsi" w:hAnsiTheme="majorHAnsi"/>
          <w:sz w:val="22"/>
          <w:szCs w:val="22"/>
          <w:lang w:val="bs-Latn-BA"/>
        </w:rPr>
        <w:t xml:space="preserve">. U nastojanju da pojedinačnim institucijama olakša popunjavanje upitnika, TI BiH je organizirao radionice u Sarajevu (za predstavnike državnih i FBiH institucija) i Banja Luci (za predstavnike iz RS-a i Brčko Distrikta), ali je </w:t>
      </w:r>
      <w:r w:rsidR="008A0596" w:rsidRPr="007D3DD7">
        <w:rPr>
          <w:rFonts w:asciiTheme="majorHAnsi" w:hAnsiTheme="majorHAnsi"/>
          <w:sz w:val="22"/>
          <w:szCs w:val="22"/>
          <w:lang w:val="bs-Latn-BA"/>
        </w:rPr>
        <w:t>odziv bio vrlo slab. Od ukupno 46 institucija koje su bile određene da uzmu učešće u procesu monitoringa</w:t>
      </w:r>
      <w:r w:rsidRPr="007D3DD7">
        <w:rPr>
          <w:rFonts w:asciiTheme="majorHAnsi" w:hAnsiTheme="majorHAnsi"/>
          <w:sz w:val="22"/>
          <w:szCs w:val="22"/>
          <w:lang w:val="bs-Latn-BA"/>
        </w:rPr>
        <w:t xml:space="preserve">, </w:t>
      </w:r>
      <w:r w:rsidR="008A0596" w:rsidRPr="007D3DD7">
        <w:rPr>
          <w:rFonts w:asciiTheme="majorHAnsi" w:hAnsiTheme="majorHAnsi"/>
          <w:sz w:val="22"/>
          <w:szCs w:val="22"/>
          <w:lang w:val="bs-Latn-BA"/>
        </w:rPr>
        <w:t xml:space="preserve">njih </w:t>
      </w:r>
      <w:r w:rsidRPr="007D3DD7">
        <w:rPr>
          <w:rFonts w:asciiTheme="majorHAnsi" w:hAnsiTheme="majorHAnsi"/>
          <w:sz w:val="22"/>
          <w:szCs w:val="22"/>
          <w:lang w:val="bs-Latn-BA"/>
        </w:rPr>
        <w:t xml:space="preserve">samo </w:t>
      </w:r>
      <w:r w:rsidR="00774CFF">
        <w:rPr>
          <w:rFonts w:asciiTheme="majorHAnsi" w:hAnsiTheme="majorHAnsi"/>
          <w:sz w:val="22"/>
          <w:szCs w:val="22"/>
          <w:lang w:val="bs-Latn-BA"/>
        </w:rPr>
        <w:t xml:space="preserve">9 se odazvalo radu fokus grupe na sastanku </w:t>
      </w:r>
      <w:r w:rsidR="004E031A" w:rsidRPr="007D3DD7">
        <w:rPr>
          <w:rFonts w:asciiTheme="majorHAnsi" w:hAnsiTheme="majorHAnsi"/>
          <w:sz w:val="22"/>
          <w:szCs w:val="22"/>
          <w:lang w:val="bs-Latn-BA"/>
        </w:rPr>
        <w:t>u Sarajevu</w:t>
      </w:r>
      <w:r w:rsidR="00774CFF">
        <w:rPr>
          <w:rFonts w:asciiTheme="majorHAnsi" w:hAnsiTheme="majorHAnsi"/>
          <w:sz w:val="22"/>
          <w:szCs w:val="22"/>
          <w:lang w:val="bs-Latn-BA"/>
        </w:rPr>
        <w:t xml:space="preserve"> (28.12.2015. godine)</w:t>
      </w:r>
      <w:r w:rsidR="008A0596" w:rsidRPr="007D3DD7">
        <w:rPr>
          <w:rFonts w:asciiTheme="majorHAnsi" w:hAnsiTheme="majorHAnsi"/>
          <w:sz w:val="22"/>
          <w:szCs w:val="22"/>
          <w:lang w:val="bs-Latn-BA"/>
        </w:rPr>
        <w:t xml:space="preserve">. </w:t>
      </w:r>
      <w:r w:rsidRPr="007D3DD7">
        <w:rPr>
          <w:rFonts w:asciiTheme="majorHAnsi" w:hAnsiTheme="majorHAnsi"/>
          <w:sz w:val="22"/>
          <w:szCs w:val="22"/>
          <w:lang w:val="bs-Latn-BA"/>
        </w:rPr>
        <w:t xml:space="preserve">Ostali su ili poslali samostalno popunjene upitnike ili se uopće nisu željeli uključiti u projekat. Istina, zainteresiranost onih institucija koje su direktno uključene u reforme u ovoj oblasti (i.e. agencije za državnu službu/upravu, nadležna ministarstva) može dobiti prolaznu ocjenu, ali zabrinjava indiferentnost kod predstavnika ostalih institucija. Ovim pitanjem trebaju se ozbiljno pozabaviti nadležne vlade u BiH, jer reformska rješenja formulisana bez doprinosa onih koji će ta rješenja morati da sprovode u praksi, obično su kratkog daha. </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Ovom prilikom upućujemo iskrenu zahvalu svima koji su nam pomogli da ovaj izvještaj učinimo što boljim i potpunijim.</w:t>
      </w:r>
    </w:p>
    <w:p w:rsidR="00976929" w:rsidRPr="0041049B" w:rsidRDefault="0041049B" w:rsidP="0041049B">
      <w:pPr>
        <w:pStyle w:val="NoSpacing"/>
        <w:spacing w:before="240"/>
        <w:ind w:right="-6"/>
        <w:rPr>
          <w:b/>
          <w:lang w:val="bs-Latn-BA"/>
        </w:rPr>
      </w:pPr>
      <w:r w:rsidRPr="0041049B">
        <w:rPr>
          <w:b/>
          <w:lang w:val="bs-Latn-BA"/>
        </w:rPr>
        <w:lastRenderedPageBreak/>
        <w:t xml:space="preserve">PRISTUP PRAĆENJU REFORMI </w:t>
      </w:r>
    </w:p>
    <w:p w:rsidR="00B03670" w:rsidRPr="007D3DD7" w:rsidRDefault="00B03670"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Kao </w:t>
      </w:r>
      <w:r w:rsidR="008A0596" w:rsidRPr="007D3DD7">
        <w:rPr>
          <w:rFonts w:asciiTheme="majorHAnsi" w:hAnsiTheme="majorHAnsi"/>
          <w:sz w:val="22"/>
          <w:szCs w:val="22"/>
          <w:lang w:val="bs-Latn-BA"/>
        </w:rPr>
        <w:t xml:space="preserve">što je već istaknuto u uvodu, </w:t>
      </w:r>
      <w:r w:rsidR="00D23EA7" w:rsidRPr="007D3DD7">
        <w:rPr>
          <w:rFonts w:asciiTheme="majorHAnsi" w:hAnsiTheme="majorHAnsi"/>
          <w:sz w:val="22"/>
          <w:szCs w:val="22"/>
          <w:lang w:val="bs-Latn-BA"/>
        </w:rPr>
        <w:t xml:space="preserve">za </w:t>
      </w:r>
      <w:r w:rsidRPr="007D3DD7">
        <w:rPr>
          <w:rFonts w:asciiTheme="majorHAnsi" w:hAnsiTheme="majorHAnsi"/>
          <w:sz w:val="22"/>
          <w:szCs w:val="22"/>
          <w:lang w:val="bs-Latn-BA"/>
        </w:rPr>
        <w:t>polaznu osnovu (baseline) u dizajnira</w:t>
      </w:r>
      <w:r w:rsidR="008A0596" w:rsidRPr="007D3DD7">
        <w:rPr>
          <w:rFonts w:asciiTheme="majorHAnsi" w:hAnsiTheme="majorHAnsi"/>
          <w:sz w:val="22"/>
          <w:szCs w:val="22"/>
          <w:lang w:val="bs-Latn-BA"/>
        </w:rPr>
        <w:t xml:space="preserve">nju metodologije </w:t>
      </w:r>
      <w:r w:rsidR="00D23EA7" w:rsidRPr="007D3DD7">
        <w:rPr>
          <w:rFonts w:asciiTheme="majorHAnsi" w:hAnsiTheme="majorHAnsi"/>
          <w:sz w:val="22"/>
          <w:szCs w:val="22"/>
          <w:lang w:val="bs-Latn-BA"/>
        </w:rPr>
        <w:t>za provedbu monitoringa u oblasti HRM-a uzet</w:t>
      </w:r>
      <w:r w:rsidRPr="007D3DD7">
        <w:rPr>
          <w:rFonts w:asciiTheme="majorHAnsi" w:hAnsiTheme="majorHAnsi"/>
          <w:sz w:val="22"/>
          <w:szCs w:val="22"/>
          <w:lang w:val="bs-Latn-BA"/>
        </w:rPr>
        <w:t xml:space="preserve"> </w:t>
      </w:r>
      <w:r w:rsidR="00D23EA7" w:rsidRPr="007D3DD7">
        <w:rPr>
          <w:rFonts w:asciiTheme="majorHAnsi" w:hAnsiTheme="majorHAnsi"/>
          <w:sz w:val="22"/>
          <w:szCs w:val="22"/>
          <w:lang w:val="bs-Latn-BA"/>
        </w:rPr>
        <w:t xml:space="preserve">je </w:t>
      </w:r>
      <w:r w:rsidRPr="007D3DD7">
        <w:rPr>
          <w:rFonts w:asciiTheme="majorHAnsi" w:hAnsiTheme="majorHAnsi"/>
          <w:sz w:val="22"/>
          <w:szCs w:val="22"/>
          <w:lang w:val="bs-Latn-BA"/>
        </w:rPr>
        <w:t xml:space="preserve">dokument </w:t>
      </w:r>
      <w:r w:rsidRPr="007D3DD7">
        <w:rPr>
          <w:rFonts w:asciiTheme="majorHAnsi" w:hAnsiTheme="majorHAnsi"/>
          <w:i/>
          <w:sz w:val="22"/>
          <w:szCs w:val="22"/>
          <w:lang w:val="bs-Latn-BA"/>
        </w:rPr>
        <w:t>Okvir principa za razvoj HRM-a u strukturama državne službe u BiH</w:t>
      </w:r>
      <w:r w:rsidRPr="007D3DD7">
        <w:rPr>
          <w:rFonts w:asciiTheme="majorHAnsi" w:hAnsiTheme="majorHAnsi"/>
          <w:sz w:val="22"/>
          <w:szCs w:val="22"/>
          <w:lang w:val="bs-Latn-BA"/>
        </w:rPr>
        <w:t xml:space="preserve">. Dokument je rađen 2013. godine uz podršku SIGME, a na tehničkom nivou je usvojen od strane Nadzornog tima za reformsku oblast upravljanje ljudskim potencijalima i predstavljen u martu 2014. godine u sklopu početne konferencije </w:t>
      </w:r>
      <w:r w:rsidR="00584214" w:rsidRPr="007D3DD7">
        <w:rPr>
          <w:rFonts w:asciiTheme="majorHAnsi" w:hAnsiTheme="majorHAnsi"/>
          <w:sz w:val="22"/>
          <w:szCs w:val="22"/>
          <w:lang w:val="bs-Latn-BA"/>
        </w:rPr>
        <w:t>EU-HRM</w:t>
      </w:r>
      <w:r w:rsidRPr="007D3DD7">
        <w:rPr>
          <w:rFonts w:asciiTheme="majorHAnsi" w:hAnsiTheme="majorHAnsi"/>
          <w:sz w:val="22"/>
          <w:szCs w:val="22"/>
          <w:lang w:val="bs-Latn-BA"/>
        </w:rPr>
        <w:t xml:space="preserve"> projekta</w:t>
      </w:r>
      <w:r w:rsidR="00B03670" w:rsidRPr="007D3DD7">
        <w:rPr>
          <w:rFonts w:asciiTheme="majorHAnsi" w:hAnsiTheme="majorHAnsi"/>
          <w:sz w:val="22"/>
          <w:szCs w:val="22"/>
          <w:lang w:val="bs-Latn-BA"/>
        </w:rPr>
        <w:t>. Inače, dokument</w:t>
      </w:r>
      <w:r w:rsidRPr="007D3DD7">
        <w:rPr>
          <w:rFonts w:asciiTheme="majorHAnsi" w:hAnsiTheme="majorHAnsi"/>
          <w:sz w:val="22"/>
          <w:szCs w:val="22"/>
          <w:lang w:val="bs-Latn-BA"/>
        </w:rPr>
        <w:t xml:space="preserve"> utvrđuje zajednička osnovna načela procesa razvoja HRM-a u pojedinačnim strukturama državne službe u BiH.</w:t>
      </w:r>
    </w:p>
    <w:p w:rsidR="00976929" w:rsidRPr="007D3DD7" w:rsidRDefault="00976929" w:rsidP="00976929">
      <w:pPr>
        <w:spacing w:before="60" w:after="60"/>
        <w:jc w:val="both"/>
        <w:rPr>
          <w:rFonts w:asciiTheme="majorHAnsi" w:hAnsiTheme="majorHAnsi"/>
          <w:sz w:val="22"/>
          <w:szCs w:val="22"/>
          <w:lang w:val="bs-Latn-BA"/>
        </w:rPr>
      </w:pPr>
    </w:p>
    <w:p w:rsidR="00D23EA7" w:rsidRPr="007D3DD7" w:rsidRDefault="00976929" w:rsidP="00D23EA7">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Ovaj dokument je odabra</w:t>
      </w:r>
      <w:r w:rsidR="00D23EA7" w:rsidRPr="007D3DD7">
        <w:rPr>
          <w:rFonts w:asciiTheme="majorHAnsi" w:hAnsiTheme="majorHAnsi"/>
          <w:sz w:val="22"/>
          <w:szCs w:val="22"/>
          <w:lang w:val="bs-Latn-BA"/>
        </w:rPr>
        <w:t xml:space="preserve">n kao referentni okvir na bazi </w:t>
      </w:r>
      <w:r w:rsidRPr="007D3DD7">
        <w:rPr>
          <w:rFonts w:asciiTheme="majorHAnsi" w:hAnsiTheme="majorHAnsi"/>
          <w:sz w:val="22"/>
          <w:szCs w:val="22"/>
          <w:lang w:val="bs-Latn-BA"/>
        </w:rPr>
        <w:t xml:space="preserve">činjenice da u BiH </w:t>
      </w:r>
      <w:r w:rsidR="00D23EA7" w:rsidRPr="007D3DD7">
        <w:rPr>
          <w:rFonts w:asciiTheme="majorHAnsi" w:hAnsiTheme="majorHAnsi"/>
          <w:sz w:val="22"/>
          <w:szCs w:val="22"/>
          <w:lang w:val="bs-Latn-BA"/>
        </w:rPr>
        <w:t xml:space="preserve">još uvijek postoji vakum kada je u pitanju strateški okvir za vođenje </w:t>
      </w:r>
      <w:r w:rsidR="00141F17" w:rsidRPr="007D3DD7">
        <w:rPr>
          <w:rFonts w:asciiTheme="majorHAnsi" w:hAnsiTheme="majorHAnsi"/>
          <w:sz w:val="22"/>
          <w:szCs w:val="22"/>
          <w:lang w:val="bs-Latn-BA"/>
        </w:rPr>
        <w:t xml:space="preserve">reformi u oblasti </w:t>
      </w:r>
      <w:r w:rsidR="00B03670" w:rsidRPr="007D3DD7">
        <w:rPr>
          <w:rFonts w:asciiTheme="majorHAnsi" w:hAnsiTheme="majorHAnsi"/>
          <w:sz w:val="22"/>
          <w:szCs w:val="22"/>
          <w:lang w:val="bs-Latn-BA"/>
        </w:rPr>
        <w:t xml:space="preserve">javne uprave (uključujući i </w:t>
      </w:r>
      <w:r w:rsidR="00141F17" w:rsidRPr="007D3DD7">
        <w:rPr>
          <w:rFonts w:asciiTheme="majorHAnsi" w:hAnsiTheme="majorHAnsi"/>
          <w:sz w:val="22"/>
          <w:szCs w:val="22"/>
          <w:lang w:val="bs-Latn-BA"/>
        </w:rPr>
        <w:t>HRM</w:t>
      </w:r>
      <w:r w:rsidR="00B03670" w:rsidRPr="007D3DD7">
        <w:rPr>
          <w:rFonts w:asciiTheme="majorHAnsi" w:hAnsiTheme="majorHAnsi"/>
          <w:sz w:val="22"/>
          <w:szCs w:val="22"/>
          <w:lang w:val="bs-Latn-BA"/>
        </w:rPr>
        <w:t>)</w:t>
      </w:r>
      <w:r w:rsidR="00D23EA7" w:rsidRPr="007D3DD7">
        <w:rPr>
          <w:rFonts w:asciiTheme="majorHAnsi" w:hAnsiTheme="majorHAnsi"/>
          <w:sz w:val="22"/>
          <w:szCs w:val="22"/>
          <w:lang w:val="bs-Latn-BA"/>
        </w:rPr>
        <w:t>. Na</w:t>
      </w:r>
      <w:r w:rsidR="00141F17" w:rsidRPr="007D3DD7">
        <w:rPr>
          <w:rFonts w:asciiTheme="majorHAnsi" w:hAnsiTheme="majorHAnsi"/>
          <w:sz w:val="22"/>
          <w:szCs w:val="22"/>
          <w:lang w:val="bs-Latn-BA"/>
        </w:rPr>
        <w:t xml:space="preserve">dati se da ovaj vakum neće potrajati još dugo, jer </w:t>
      </w:r>
      <w:r w:rsidR="00D23EA7" w:rsidRPr="007D3DD7">
        <w:rPr>
          <w:rFonts w:asciiTheme="majorHAnsi" w:hAnsiTheme="majorHAnsi"/>
          <w:sz w:val="22"/>
          <w:szCs w:val="22"/>
          <w:lang w:val="bs-Latn-BA"/>
        </w:rPr>
        <w:t xml:space="preserve">je krajem 2015., kroz saradnju PARCO-a i SIGME, pripremljen prijedlog Operativnog plana za izradu </w:t>
      </w:r>
      <w:r w:rsidR="00141F17" w:rsidRPr="007D3DD7">
        <w:rPr>
          <w:rFonts w:asciiTheme="majorHAnsi" w:hAnsiTheme="majorHAnsi"/>
          <w:sz w:val="22"/>
          <w:szCs w:val="22"/>
          <w:lang w:val="bs-Latn-BA"/>
        </w:rPr>
        <w:t xml:space="preserve">novog sveobuhvatnog </w:t>
      </w:r>
      <w:r w:rsidR="00D23EA7" w:rsidRPr="007D3DD7">
        <w:rPr>
          <w:rFonts w:asciiTheme="majorHAnsi" w:hAnsiTheme="majorHAnsi"/>
          <w:sz w:val="22"/>
          <w:szCs w:val="22"/>
          <w:lang w:val="bs-Latn-BA"/>
        </w:rPr>
        <w:t>strateškog okvira</w:t>
      </w:r>
      <w:r w:rsidR="00B03670" w:rsidRPr="007D3DD7">
        <w:rPr>
          <w:rFonts w:asciiTheme="majorHAnsi" w:hAnsiTheme="majorHAnsi"/>
          <w:sz w:val="22"/>
          <w:szCs w:val="22"/>
          <w:lang w:val="bs-Latn-BA"/>
        </w:rPr>
        <w:t xml:space="preserve"> za RJU (</w:t>
      </w:r>
      <w:r w:rsidR="00D23EA7" w:rsidRPr="007D3DD7">
        <w:rPr>
          <w:rFonts w:asciiTheme="majorHAnsi" w:hAnsiTheme="majorHAnsi"/>
          <w:sz w:val="22"/>
          <w:szCs w:val="22"/>
          <w:lang w:val="bs-Latn-BA"/>
        </w:rPr>
        <w:t xml:space="preserve">do sredine 2016. </w:t>
      </w:r>
      <w:r w:rsidR="00141F17" w:rsidRPr="007D3DD7">
        <w:rPr>
          <w:rFonts w:asciiTheme="majorHAnsi" w:hAnsiTheme="majorHAnsi"/>
          <w:sz w:val="22"/>
          <w:szCs w:val="22"/>
          <w:lang w:val="bs-Latn-BA"/>
        </w:rPr>
        <w:t>g</w:t>
      </w:r>
      <w:r w:rsidR="00D23EA7" w:rsidRPr="007D3DD7">
        <w:rPr>
          <w:rFonts w:asciiTheme="majorHAnsi" w:hAnsiTheme="majorHAnsi"/>
          <w:sz w:val="22"/>
          <w:szCs w:val="22"/>
          <w:lang w:val="bs-Latn-BA"/>
        </w:rPr>
        <w:t>odine</w:t>
      </w:r>
      <w:r w:rsidR="00141F17" w:rsidRPr="007D3DD7">
        <w:rPr>
          <w:rFonts w:asciiTheme="majorHAnsi" w:hAnsiTheme="majorHAnsi"/>
          <w:sz w:val="22"/>
          <w:szCs w:val="22"/>
          <w:lang w:val="bs-Latn-BA"/>
        </w:rPr>
        <w:t xml:space="preserve">). Ukoliko se predviđene aktivnosti realizuju u 2016. godini, postoji realna mogućnost da naredni izvještaj TI BIH o praćenju reformi bude zasnovan na ciljevima postavljenim u budućoj strategiji za RJU u BiH.  </w:t>
      </w:r>
    </w:p>
    <w:p w:rsidR="00141F17" w:rsidRPr="007D3DD7" w:rsidRDefault="00141F17" w:rsidP="00D23EA7">
      <w:pPr>
        <w:spacing w:before="60" w:after="60"/>
        <w:jc w:val="both"/>
        <w:rPr>
          <w:rFonts w:asciiTheme="majorHAnsi" w:hAnsiTheme="majorHAnsi"/>
          <w:sz w:val="22"/>
          <w:szCs w:val="22"/>
          <w:lang w:val="bs-Latn-BA"/>
        </w:rPr>
      </w:pPr>
    </w:p>
    <w:p w:rsidR="00B03670" w:rsidRPr="007D3DD7" w:rsidRDefault="00141F17"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Inače, važno je spomenuti da </w:t>
      </w:r>
      <w:r w:rsidR="00976929" w:rsidRPr="007D3DD7">
        <w:rPr>
          <w:rFonts w:asciiTheme="majorHAnsi" w:hAnsiTheme="majorHAnsi"/>
          <w:sz w:val="22"/>
          <w:szCs w:val="22"/>
          <w:lang w:val="bs-Latn-BA"/>
        </w:rPr>
        <w:t>su tokom 2015. godine Vijeće ministara BiH, vlade Federacije BiH, Republike Srpske i Brčko distrikta usvojile Informaciju o aktivnostima u procesu reforme javne uprave za zaključcima čime je data podrška nastavku nedovršenih aktivnosti iz Strategije za reformu javne uprave i R</w:t>
      </w:r>
      <w:r w:rsidR="00B03670" w:rsidRPr="007D3DD7">
        <w:rPr>
          <w:rFonts w:asciiTheme="majorHAnsi" w:hAnsiTheme="majorHAnsi"/>
          <w:sz w:val="22"/>
          <w:szCs w:val="22"/>
          <w:lang w:val="bs-Latn-BA"/>
        </w:rPr>
        <w:t xml:space="preserve">evidiranog </w:t>
      </w:r>
      <w:r w:rsidR="00976929" w:rsidRPr="007D3DD7">
        <w:rPr>
          <w:rFonts w:asciiTheme="majorHAnsi" w:hAnsiTheme="majorHAnsi"/>
          <w:sz w:val="22"/>
          <w:szCs w:val="22"/>
          <w:lang w:val="bs-Latn-BA"/>
        </w:rPr>
        <w:t>A</w:t>
      </w:r>
      <w:r w:rsidR="00B03670" w:rsidRPr="007D3DD7">
        <w:rPr>
          <w:rFonts w:asciiTheme="majorHAnsi" w:hAnsiTheme="majorHAnsi"/>
          <w:sz w:val="22"/>
          <w:szCs w:val="22"/>
          <w:lang w:val="bs-Latn-BA"/>
        </w:rPr>
        <w:t xml:space="preserve">kcionog </w:t>
      </w:r>
      <w:r w:rsidR="00976929" w:rsidRPr="007D3DD7">
        <w:rPr>
          <w:rFonts w:asciiTheme="majorHAnsi" w:hAnsiTheme="majorHAnsi"/>
          <w:sz w:val="22"/>
          <w:szCs w:val="22"/>
          <w:lang w:val="bs-Latn-BA"/>
        </w:rPr>
        <w:t>P</w:t>
      </w:r>
      <w:r w:rsidR="00B03670" w:rsidRPr="007D3DD7">
        <w:rPr>
          <w:rFonts w:asciiTheme="majorHAnsi" w:hAnsiTheme="majorHAnsi"/>
          <w:sz w:val="22"/>
          <w:szCs w:val="22"/>
          <w:lang w:val="bs-Latn-BA"/>
        </w:rPr>
        <w:t>lana</w:t>
      </w:r>
      <w:r w:rsidR="00976929" w:rsidRPr="007D3DD7">
        <w:rPr>
          <w:rFonts w:asciiTheme="majorHAnsi" w:hAnsiTheme="majorHAnsi"/>
          <w:sz w:val="22"/>
          <w:szCs w:val="22"/>
          <w:lang w:val="bs-Latn-BA"/>
        </w:rPr>
        <w:t xml:space="preserve"> 1</w:t>
      </w:r>
      <w:r w:rsidR="00B03670" w:rsidRPr="007D3DD7">
        <w:rPr>
          <w:rFonts w:asciiTheme="majorHAnsi" w:hAnsiTheme="majorHAnsi"/>
          <w:sz w:val="22"/>
          <w:szCs w:val="22"/>
          <w:lang w:val="bs-Latn-BA"/>
        </w:rPr>
        <w:t xml:space="preserve"> (RAP)</w:t>
      </w:r>
      <w:r w:rsidR="00976929" w:rsidRPr="007D3DD7">
        <w:rPr>
          <w:rFonts w:asciiTheme="majorHAnsi" w:hAnsiTheme="majorHAnsi"/>
          <w:sz w:val="22"/>
          <w:szCs w:val="22"/>
          <w:lang w:val="bs-Latn-BA"/>
        </w:rPr>
        <w:t>.</w:t>
      </w: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 </w:t>
      </w:r>
    </w:p>
    <w:p w:rsidR="00B03670"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Što se tiče izvora informacija za ovaj izvještaj, TI BIH se primarno oslonio na sljedeće izvore: </w:t>
      </w:r>
    </w:p>
    <w:p w:rsidR="00B03670" w:rsidRPr="007D3DD7" w:rsidRDefault="00976929" w:rsidP="0001240E">
      <w:pPr>
        <w:pStyle w:val="ListParagraph"/>
        <w:numPr>
          <w:ilvl w:val="0"/>
          <w:numId w:val="3"/>
        </w:numPr>
        <w:spacing w:before="60" w:after="60"/>
        <w:ind w:left="426" w:hanging="284"/>
        <w:jc w:val="both"/>
        <w:rPr>
          <w:rFonts w:asciiTheme="majorHAnsi" w:hAnsiTheme="majorHAnsi"/>
        </w:rPr>
      </w:pPr>
      <w:r w:rsidRPr="007D3DD7">
        <w:rPr>
          <w:rFonts w:asciiTheme="majorHAnsi" w:hAnsiTheme="majorHAnsi"/>
        </w:rPr>
        <w:t>informacije dostavljene na pitanja iz strukturiranog upitnika i razgovori sa institucijama iz sve četiri strukture javne uprave u BiH</w:t>
      </w:r>
      <w:r w:rsidR="00B03670" w:rsidRPr="007D3DD7">
        <w:rPr>
          <w:rFonts w:asciiTheme="majorHAnsi" w:hAnsiTheme="majorHAnsi"/>
        </w:rPr>
        <w:t>;</w:t>
      </w:r>
    </w:p>
    <w:p w:rsidR="00B03670" w:rsidRPr="007D3DD7" w:rsidRDefault="00976929" w:rsidP="0001240E">
      <w:pPr>
        <w:pStyle w:val="ListParagraph"/>
        <w:numPr>
          <w:ilvl w:val="0"/>
          <w:numId w:val="3"/>
        </w:numPr>
        <w:spacing w:before="60" w:after="60"/>
        <w:ind w:left="426" w:hanging="284"/>
        <w:jc w:val="both"/>
        <w:rPr>
          <w:rFonts w:asciiTheme="majorHAnsi" w:hAnsiTheme="majorHAnsi"/>
        </w:rPr>
      </w:pPr>
      <w:r w:rsidRPr="007D3DD7">
        <w:rPr>
          <w:rFonts w:asciiTheme="majorHAnsi" w:hAnsiTheme="majorHAnsi"/>
        </w:rPr>
        <w:t>godišnji izvještaj o radu Ureda koordinatora za RJU (PARCO)</w:t>
      </w:r>
      <w:r w:rsidR="00B03670" w:rsidRPr="007D3DD7">
        <w:rPr>
          <w:rFonts w:asciiTheme="majorHAnsi" w:hAnsiTheme="majorHAnsi"/>
        </w:rPr>
        <w:t>;</w:t>
      </w:r>
    </w:p>
    <w:p w:rsidR="00B03670" w:rsidRPr="007D3DD7" w:rsidRDefault="00B03670" w:rsidP="0001240E">
      <w:pPr>
        <w:pStyle w:val="ListParagraph"/>
        <w:numPr>
          <w:ilvl w:val="0"/>
          <w:numId w:val="3"/>
        </w:numPr>
        <w:spacing w:before="60" w:after="60"/>
        <w:ind w:left="426" w:hanging="284"/>
        <w:jc w:val="both"/>
        <w:rPr>
          <w:rFonts w:asciiTheme="majorHAnsi" w:hAnsiTheme="majorHAnsi"/>
        </w:rPr>
      </w:pPr>
      <w:r w:rsidRPr="007D3DD7">
        <w:rPr>
          <w:rFonts w:asciiTheme="majorHAnsi" w:hAnsiTheme="majorHAnsi"/>
        </w:rPr>
        <w:t xml:space="preserve">godišnji </w:t>
      </w:r>
      <w:r w:rsidR="00976929" w:rsidRPr="007D3DD7">
        <w:rPr>
          <w:rFonts w:asciiTheme="majorHAnsi" w:hAnsiTheme="majorHAnsi"/>
        </w:rPr>
        <w:t xml:space="preserve">izvještaj </w:t>
      </w:r>
      <w:r w:rsidRPr="007D3DD7">
        <w:rPr>
          <w:rFonts w:asciiTheme="majorHAnsi" w:hAnsiTheme="majorHAnsi"/>
        </w:rPr>
        <w:t xml:space="preserve">Evropske komisije </w:t>
      </w:r>
      <w:r w:rsidR="00976929" w:rsidRPr="007D3DD7">
        <w:rPr>
          <w:rFonts w:asciiTheme="majorHAnsi" w:hAnsiTheme="majorHAnsi"/>
        </w:rPr>
        <w:t xml:space="preserve">o napretku </w:t>
      </w:r>
      <w:r w:rsidRPr="007D3DD7">
        <w:rPr>
          <w:rFonts w:asciiTheme="majorHAnsi" w:hAnsiTheme="majorHAnsi"/>
        </w:rPr>
        <w:t>BiH u evropskim integracijama;</w:t>
      </w:r>
    </w:p>
    <w:p w:rsidR="00487AB6" w:rsidRPr="007D3DD7" w:rsidRDefault="00B03670" w:rsidP="0001240E">
      <w:pPr>
        <w:pStyle w:val="ListParagraph"/>
        <w:numPr>
          <w:ilvl w:val="0"/>
          <w:numId w:val="3"/>
        </w:numPr>
        <w:spacing w:before="60" w:after="60"/>
        <w:ind w:left="426" w:hanging="284"/>
        <w:jc w:val="both"/>
        <w:rPr>
          <w:rFonts w:asciiTheme="majorHAnsi" w:hAnsiTheme="majorHAnsi"/>
        </w:rPr>
      </w:pPr>
      <w:r w:rsidRPr="007D3DD7">
        <w:rPr>
          <w:rFonts w:asciiTheme="majorHAnsi" w:hAnsiTheme="majorHAnsi"/>
        </w:rPr>
        <w:t xml:space="preserve">završni izvještaj </w:t>
      </w:r>
      <w:r w:rsidR="00976929" w:rsidRPr="007D3DD7">
        <w:rPr>
          <w:rFonts w:asciiTheme="majorHAnsi" w:hAnsiTheme="majorHAnsi"/>
        </w:rPr>
        <w:t xml:space="preserve">projekta </w:t>
      </w:r>
      <w:r w:rsidR="00584214" w:rsidRPr="007D3DD7">
        <w:rPr>
          <w:rFonts w:asciiTheme="majorHAnsi" w:hAnsiTheme="majorHAnsi"/>
        </w:rPr>
        <w:t>EU-HRM</w:t>
      </w:r>
      <w:r w:rsidR="00976929" w:rsidRPr="007D3DD7">
        <w:rPr>
          <w:rFonts w:asciiTheme="majorHAnsi" w:hAnsiTheme="majorHAnsi"/>
        </w:rPr>
        <w:t xml:space="preserve">. </w:t>
      </w:r>
    </w:p>
    <w:p w:rsidR="00991619" w:rsidRPr="00957337" w:rsidRDefault="00991619" w:rsidP="00EB3E2F">
      <w:pPr>
        <w:spacing w:before="240" w:after="240"/>
        <w:ind w:right="-6"/>
        <w:jc w:val="both"/>
        <w:rPr>
          <w:rFonts w:ascii="Calibri" w:hAnsi="Calibri"/>
          <w:b/>
          <w:sz w:val="22"/>
          <w:szCs w:val="22"/>
        </w:rPr>
      </w:pPr>
      <w:r w:rsidRPr="00957337">
        <w:rPr>
          <w:rFonts w:ascii="Calibri" w:hAnsi="Calibri"/>
          <w:b/>
          <w:sz w:val="22"/>
          <w:szCs w:val="22"/>
        </w:rPr>
        <w:t xml:space="preserve">Tabela 1. Prikaz </w:t>
      </w:r>
      <w:r w:rsidR="00EB3E2F" w:rsidRPr="00EB3E2F">
        <w:rPr>
          <w:rFonts w:ascii="Calibri" w:hAnsi="Calibri"/>
          <w:b/>
          <w:sz w:val="22"/>
          <w:szCs w:val="22"/>
        </w:rPr>
        <w:t xml:space="preserve">osnovnih informacija o načinu prikupljanja podataka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536"/>
      </w:tblGrid>
      <w:tr w:rsidR="0041049B" w:rsidRPr="0041049B" w:rsidTr="0001240E">
        <w:tc>
          <w:tcPr>
            <w:tcW w:w="2235" w:type="dxa"/>
            <w:shd w:val="clear" w:color="auto" w:fill="BFBFBF" w:themeFill="background1" w:themeFillShade="BF"/>
          </w:tcPr>
          <w:p w:rsidR="00976929" w:rsidRPr="0041049B" w:rsidRDefault="00976929" w:rsidP="002539BD">
            <w:pPr>
              <w:spacing w:before="60" w:after="60"/>
              <w:jc w:val="center"/>
              <w:rPr>
                <w:rFonts w:asciiTheme="majorHAnsi" w:hAnsiTheme="majorHAnsi"/>
                <w:b/>
                <w:bCs/>
                <w:sz w:val="22"/>
                <w:szCs w:val="22"/>
                <w:lang w:val="bs-Latn-BA"/>
              </w:rPr>
            </w:pPr>
            <w:r w:rsidRPr="0041049B">
              <w:rPr>
                <w:rFonts w:asciiTheme="majorHAnsi" w:hAnsiTheme="majorHAnsi"/>
                <w:b/>
                <w:bCs/>
                <w:sz w:val="22"/>
                <w:szCs w:val="22"/>
                <w:lang w:val="bs-Latn-BA"/>
              </w:rPr>
              <w:t>IZVOR PODATAKA</w:t>
            </w:r>
          </w:p>
        </w:tc>
        <w:tc>
          <w:tcPr>
            <w:tcW w:w="2409" w:type="dxa"/>
            <w:shd w:val="clear" w:color="auto" w:fill="BFBFBF" w:themeFill="background1" w:themeFillShade="BF"/>
          </w:tcPr>
          <w:p w:rsidR="00976929" w:rsidRPr="0041049B" w:rsidRDefault="00976929" w:rsidP="002539BD">
            <w:pPr>
              <w:spacing w:before="60" w:after="60"/>
              <w:jc w:val="center"/>
              <w:rPr>
                <w:rFonts w:asciiTheme="majorHAnsi" w:hAnsiTheme="majorHAnsi"/>
                <w:b/>
                <w:bCs/>
                <w:sz w:val="22"/>
                <w:szCs w:val="22"/>
                <w:lang w:val="bs-Latn-BA"/>
              </w:rPr>
            </w:pPr>
            <w:r w:rsidRPr="0041049B">
              <w:rPr>
                <w:rFonts w:asciiTheme="majorHAnsi" w:hAnsiTheme="majorHAnsi"/>
                <w:b/>
                <w:bCs/>
                <w:sz w:val="22"/>
                <w:szCs w:val="22"/>
                <w:lang w:val="bs-Latn-BA"/>
              </w:rPr>
              <w:t>NAČIN PRIKUPLJANJA PODATAKA</w:t>
            </w:r>
          </w:p>
        </w:tc>
        <w:tc>
          <w:tcPr>
            <w:tcW w:w="4536" w:type="dxa"/>
            <w:shd w:val="clear" w:color="auto" w:fill="BFBFBF" w:themeFill="background1" w:themeFillShade="BF"/>
          </w:tcPr>
          <w:p w:rsidR="00976929" w:rsidRPr="0041049B" w:rsidRDefault="00976929" w:rsidP="002539BD">
            <w:pPr>
              <w:spacing w:before="60" w:after="60"/>
              <w:jc w:val="center"/>
              <w:rPr>
                <w:rFonts w:asciiTheme="majorHAnsi" w:hAnsiTheme="majorHAnsi"/>
                <w:b/>
                <w:bCs/>
                <w:sz w:val="22"/>
                <w:szCs w:val="22"/>
                <w:lang w:val="bs-Latn-BA"/>
              </w:rPr>
            </w:pPr>
            <w:r w:rsidRPr="0041049B">
              <w:rPr>
                <w:rFonts w:asciiTheme="majorHAnsi" w:hAnsiTheme="majorHAnsi"/>
                <w:b/>
                <w:bCs/>
                <w:sz w:val="22"/>
                <w:szCs w:val="22"/>
                <w:lang w:val="bs-Latn-BA"/>
              </w:rPr>
              <w:t>NAPOMENE</w:t>
            </w:r>
          </w:p>
        </w:tc>
      </w:tr>
      <w:tr w:rsidR="0041049B" w:rsidRPr="0041049B" w:rsidTr="0001240E">
        <w:tc>
          <w:tcPr>
            <w:tcW w:w="2235" w:type="dxa"/>
            <w:shd w:val="clear" w:color="auto" w:fill="auto"/>
          </w:tcPr>
          <w:p w:rsidR="00976929" w:rsidRPr="0041049B" w:rsidRDefault="00976929" w:rsidP="002539BD">
            <w:pPr>
              <w:spacing w:before="60" w:after="60"/>
              <w:jc w:val="both"/>
              <w:rPr>
                <w:rFonts w:asciiTheme="majorHAnsi" w:hAnsiTheme="majorHAnsi"/>
                <w:bCs/>
                <w:sz w:val="22"/>
                <w:szCs w:val="22"/>
                <w:lang w:val="bs-Latn-BA"/>
              </w:rPr>
            </w:pPr>
            <w:r w:rsidRPr="0041049B">
              <w:rPr>
                <w:rFonts w:asciiTheme="majorHAnsi" w:hAnsiTheme="majorHAnsi"/>
                <w:bCs/>
                <w:sz w:val="22"/>
                <w:szCs w:val="22"/>
                <w:lang w:val="bs-Latn-BA"/>
              </w:rPr>
              <w:t xml:space="preserve">Institucije JU </w:t>
            </w:r>
          </w:p>
        </w:tc>
        <w:tc>
          <w:tcPr>
            <w:tcW w:w="2409" w:type="dxa"/>
            <w:shd w:val="clear" w:color="auto" w:fill="auto"/>
          </w:tcPr>
          <w:p w:rsidR="00976929" w:rsidRPr="0041049B" w:rsidRDefault="00976929" w:rsidP="002539BD">
            <w:pPr>
              <w:spacing w:before="60" w:after="60"/>
              <w:rPr>
                <w:rFonts w:asciiTheme="majorHAnsi" w:hAnsiTheme="majorHAnsi"/>
                <w:sz w:val="22"/>
                <w:szCs w:val="22"/>
                <w:lang w:val="bs-Latn-BA"/>
              </w:rPr>
            </w:pPr>
            <w:r w:rsidRPr="0041049B">
              <w:rPr>
                <w:rFonts w:asciiTheme="majorHAnsi" w:hAnsiTheme="majorHAnsi"/>
                <w:sz w:val="22"/>
                <w:szCs w:val="22"/>
                <w:lang w:val="bs-Latn-BA"/>
              </w:rPr>
              <w:t>Strukturirani upitnik i razgovor prema potrebi/u dogovoru sa predstavnicima institucija</w:t>
            </w:r>
          </w:p>
        </w:tc>
        <w:tc>
          <w:tcPr>
            <w:tcW w:w="4536" w:type="dxa"/>
            <w:shd w:val="clear" w:color="auto" w:fill="auto"/>
          </w:tcPr>
          <w:p w:rsidR="00976929" w:rsidRPr="0041049B" w:rsidRDefault="00976929" w:rsidP="002539BD">
            <w:pPr>
              <w:spacing w:before="60" w:after="60"/>
              <w:rPr>
                <w:rFonts w:asciiTheme="majorHAnsi" w:hAnsiTheme="majorHAnsi"/>
                <w:sz w:val="22"/>
                <w:szCs w:val="22"/>
                <w:lang w:val="bs-Latn-BA"/>
              </w:rPr>
            </w:pPr>
            <w:r w:rsidRPr="0041049B">
              <w:rPr>
                <w:rFonts w:asciiTheme="majorHAnsi" w:hAnsiTheme="majorHAnsi"/>
                <w:sz w:val="22"/>
                <w:szCs w:val="22"/>
                <w:lang w:val="bs-Latn-BA"/>
              </w:rPr>
              <w:t xml:space="preserve">Odabrano je po petnaest institucija sa državnog i entitetskih nivoa i centralna HRM jedinica Distrikta Brčko; osnovni kriteriji prilikom odabira bili su:  1) relevantnost institucije za reformsku oblast HRM; i 2) potreba da budu zastupljene institucije iz različitih sektora i sa različitim brojem zaposlenih. </w:t>
            </w:r>
          </w:p>
        </w:tc>
      </w:tr>
      <w:tr w:rsidR="0041049B" w:rsidRPr="0041049B" w:rsidTr="0001240E">
        <w:tc>
          <w:tcPr>
            <w:tcW w:w="2235" w:type="dxa"/>
            <w:shd w:val="clear" w:color="auto" w:fill="auto"/>
          </w:tcPr>
          <w:p w:rsidR="00976929" w:rsidRPr="0041049B" w:rsidRDefault="00976929" w:rsidP="002539BD">
            <w:pPr>
              <w:spacing w:before="60" w:after="60"/>
              <w:jc w:val="both"/>
              <w:rPr>
                <w:rFonts w:asciiTheme="majorHAnsi" w:hAnsiTheme="majorHAnsi"/>
                <w:bCs/>
                <w:sz w:val="22"/>
                <w:szCs w:val="22"/>
                <w:lang w:val="bs-Latn-BA"/>
              </w:rPr>
            </w:pPr>
            <w:r w:rsidRPr="0041049B">
              <w:rPr>
                <w:rFonts w:asciiTheme="majorHAnsi" w:hAnsiTheme="majorHAnsi"/>
                <w:bCs/>
                <w:sz w:val="22"/>
                <w:szCs w:val="22"/>
                <w:lang w:val="bs-Latn-BA"/>
              </w:rPr>
              <w:t>Izvještaji PARCO-a</w:t>
            </w:r>
          </w:p>
        </w:tc>
        <w:tc>
          <w:tcPr>
            <w:tcW w:w="2409" w:type="dxa"/>
            <w:shd w:val="clear" w:color="auto" w:fill="auto"/>
          </w:tcPr>
          <w:p w:rsidR="00976929" w:rsidRPr="0041049B" w:rsidRDefault="00976929" w:rsidP="002539BD">
            <w:pPr>
              <w:spacing w:before="60" w:after="60"/>
              <w:jc w:val="both"/>
              <w:rPr>
                <w:rFonts w:asciiTheme="majorHAnsi" w:hAnsiTheme="majorHAnsi"/>
                <w:sz w:val="22"/>
                <w:szCs w:val="22"/>
                <w:lang w:val="bs-Latn-BA"/>
              </w:rPr>
            </w:pPr>
            <w:r w:rsidRPr="0041049B">
              <w:rPr>
                <w:rFonts w:asciiTheme="majorHAnsi" w:hAnsiTheme="majorHAnsi"/>
                <w:sz w:val="22"/>
                <w:szCs w:val="22"/>
                <w:lang w:val="bs-Latn-BA"/>
              </w:rPr>
              <w:t>Analiza izvještaja</w:t>
            </w:r>
          </w:p>
        </w:tc>
        <w:tc>
          <w:tcPr>
            <w:tcW w:w="4536" w:type="dxa"/>
            <w:shd w:val="clear" w:color="auto" w:fill="auto"/>
          </w:tcPr>
          <w:p w:rsidR="00976929" w:rsidRPr="0041049B" w:rsidRDefault="00976929" w:rsidP="002539BD">
            <w:pPr>
              <w:spacing w:before="60" w:after="60"/>
              <w:rPr>
                <w:rFonts w:asciiTheme="majorHAnsi" w:hAnsiTheme="majorHAnsi"/>
                <w:sz w:val="22"/>
                <w:szCs w:val="22"/>
                <w:lang w:val="bs-Latn-BA"/>
              </w:rPr>
            </w:pPr>
            <w:r w:rsidRPr="0041049B">
              <w:rPr>
                <w:rFonts w:asciiTheme="majorHAnsi" w:hAnsiTheme="majorHAnsi"/>
                <w:sz w:val="22"/>
                <w:szCs w:val="22"/>
                <w:lang w:val="bs-Latn-BA"/>
              </w:rPr>
              <w:t>Analiziran  je Godišnji izvještaj o radu Ureda koordinatora za reformu javne uprave</w:t>
            </w:r>
          </w:p>
          <w:p w:rsidR="00976929" w:rsidRPr="0041049B" w:rsidRDefault="00976929" w:rsidP="002539BD">
            <w:pPr>
              <w:spacing w:before="60" w:after="60"/>
              <w:rPr>
                <w:rFonts w:asciiTheme="majorHAnsi" w:hAnsiTheme="majorHAnsi"/>
                <w:sz w:val="22"/>
                <w:szCs w:val="22"/>
                <w:lang w:val="bs-Latn-BA"/>
              </w:rPr>
            </w:pPr>
            <w:r w:rsidRPr="0041049B">
              <w:rPr>
                <w:rFonts w:asciiTheme="majorHAnsi" w:hAnsiTheme="majorHAnsi"/>
                <w:sz w:val="22"/>
                <w:szCs w:val="22"/>
                <w:lang w:val="bs-Latn-BA"/>
              </w:rPr>
              <w:t>januar – decembar 2015.</w:t>
            </w:r>
          </w:p>
        </w:tc>
      </w:tr>
      <w:tr w:rsidR="0041049B" w:rsidRPr="0041049B" w:rsidTr="0001240E">
        <w:tc>
          <w:tcPr>
            <w:tcW w:w="2235" w:type="dxa"/>
            <w:shd w:val="clear" w:color="auto" w:fill="auto"/>
          </w:tcPr>
          <w:p w:rsidR="00976929" w:rsidRPr="0041049B" w:rsidRDefault="00487AB6" w:rsidP="002539BD">
            <w:pPr>
              <w:spacing w:before="60" w:after="60"/>
              <w:rPr>
                <w:rFonts w:asciiTheme="majorHAnsi" w:hAnsiTheme="majorHAnsi"/>
                <w:bCs/>
                <w:sz w:val="22"/>
                <w:szCs w:val="22"/>
                <w:lang w:val="bs-Latn-BA"/>
              </w:rPr>
            </w:pPr>
            <w:r w:rsidRPr="0041049B">
              <w:rPr>
                <w:rFonts w:asciiTheme="majorHAnsi" w:hAnsiTheme="majorHAnsi"/>
                <w:bCs/>
                <w:sz w:val="22"/>
                <w:szCs w:val="22"/>
                <w:lang w:val="bs-Latn-BA"/>
              </w:rPr>
              <w:t>Izvještaj</w:t>
            </w:r>
            <w:r w:rsidR="00976929" w:rsidRPr="0041049B">
              <w:rPr>
                <w:rFonts w:asciiTheme="majorHAnsi" w:hAnsiTheme="majorHAnsi"/>
                <w:bCs/>
                <w:sz w:val="22"/>
                <w:szCs w:val="22"/>
                <w:lang w:val="bs-Latn-BA"/>
              </w:rPr>
              <w:t xml:space="preserve"> Delegacije Evropske komisije</w:t>
            </w:r>
          </w:p>
        </w:tc>
        <w:tc>
          <w:tcPr>
            <w:tcW w:w="2409" w:type="dxa"/>
            <w:shd w:val="clear" w:color="auto" w:fill="auto"/>
          </w:tcPr>
          <w:p w:rsidR="00976929" w:rsidRPr="0041049B" w:rsidRDefault="00976929" w:rsidP="002539BD">
            <w:pPr>
              <w:spacing w:before="60" w:after="60"/>
              <w:jc w:val="both"/>
              <w:rPr>
                <w:rFonts w:asciiTheme="majorHAnsi" w:hAnsiTheme="majorHAnsi"/>
                <w:sz w:val="22"/>
                <w:szCs w:val="22"/>
                <w:lang w:val="bs-Latn-BA"/>
              </w:rPr>
            </w:pPr>
            <w:r w:rsidRPr="0041049B">
              <w:rPr>
                <w:rFonts w:asciiTheme="majorHAnsi" w:hAnsiTheme="majorHAnsi"/>
                <w:sz w:val="22"/>
                <w:szCs w:val="22"/>
                <w:lang w:val="bs-Latn-BA"/>
              </w:rPr>
              <w:t>Analiza izvještaja</w:t>
            </w:r>
          </w:p>
        </w:tc>
        <w:tc>
          <w:tcPr>
            <w:tcW w:w="4536" w:type="dxa"/>
            <w:shd w:val="clear" w:color="auto" w:fill="auto"/>
          </w:tcPr>
          <w:p w:rsidR="00976929" w:rsidRPr="0041049B" w:rsidRDefault="00976929" w:rsidP="002539BD">
            <w:pPr>
              <w:spacing w:before="60" w:after="60"/>
              <w:rPr>
                <w:rFonts w:asciiTheme="majorHAnsi" w:hAnsiTheme="majorHAnsi"/>
                <w:sz w:val="22"/>
                <w:szCs w:val="22"/>
                <w:lang w:val="bs-Latn-BA"/>
              </w:rPr>
            </w:pPr>
            <w:r w:rsidRPr="0041049B">
              <w:rPr>
                <w:rFonts w:asciiTheme="majorHAnsi" w:hAnsiTheme="majorHAnsi"/>
                <w:sz w:val="22"/>
                <w:szCs w:val="22"/>
                <w:lang w:val="bs-Latn-BA"/>
              </w:rPr>
              <w:t>Analiz</w:t>
            </w:r>
            <w:r w:rsidR="00487AB6" w:rsidRPr="0041049B">
              <w:rPr>
                <w:rFonts w:asciiTheme="majorHAnsi" w:hAnsiTheme="majorHAnsi"/>
                <w:sz w:val="22"/>
                <w:szCs w:val="22"/>
                <w:lang w:val="bs-Latn-BA"/>
              </w:rPr>
              <w:t>iran je izvještaj o  napretku</w:t>
            </w:r>
            <w:r w:rsidRPr="0041049B">
              <w:rPr>
                <w:rFonts w:asciiTheme="majorHAnsi" w:hAnsiTheme="majorHAnsi"/>
                <w:sz w:val="22"/>
                <w:szCs w:val="22"/>
                <w:lang w:val="bs-Latn-BA"/>
              </w:rPr>
              <w:t xml:space="preserve"> BiH za 2015. godinu.</w:t>
            </w:r>
          </w:p>
        </w:tc>
      </w:tr>
      <w:tr w:rsidR="0041049B" w:rsidRPr="0041049B" w:rsidTr="0001240E">
        <w:tc>
          <w:tcPr>
            <w:tcW w:w="2235" w:type="dxa"/>
            <w:shd w:val="clear" w:color="auto" w:fill="auto"/>
          </w:tcPr>
          <w:p w:rsidR="00976929" w:rsidRPr="0041049B" w:rsidRDefault="00976929" w:rsidP="002539BD">
            <w:pPr>
              <w:spacing w:before="60" w:after="60"/>
              <w:rPr>
                <w:rFonts w:asciiTheme="majorHAnsi" w:hAnsiTheme="majorHAnsi"/>
                <w:bCs/>
                <w:sz w:val="22"/>
                <w:szCs w:val="22"/>
                <w:lang w:val="bs-Latn-BA"/>
              </w:rPr>
            </w:pPr>
            <w:r w:rsidRPr="0041049B">
              <w:rPr>
                <w:rFonts w:asciiTheme="majorHAnsi" w:hAnsiTheme="majorHAnsi"/>
                <w:bCs/>
                <w:sz w:val="22"/>
                <w:szCs w:val="22"/>
                <w:lang w:val="bs-Latn-BA"/>
              </w:rPr>
              <w:t xml:space="preserve">Projekt </w:t>
            </w:r>
            <w:r w:rsidR="00584214" w:rsidRPr="0041049B">
              <w:rPr>
                <w:rFonts w:asciiTheme="majorHAnsi" w:hAnsiTheme="majorHAnsi"/>
                <w:bCs/>
                <w:sz w:val="22"/>
                <w:szCs w:val="22"/>
                <w:lang w:val="bs-Latn-BA"/>
              </w:rPr>
              <w:t>EU-HRM</w:t>
            </w:r>
          </w:p>
        </w:tc>
        <w:tc>
          <w:tcPr>
            <w:tcW w:w="2409" w:type="dxa"/>
            <w:shd w:val="clear" w:color="auto" w:fill="auto"/>
          </w:tcPr>
          <w:p w:rsidR="00976929" w:rsidRPr="0041049B" w:rsidRDefault="00976929" w:rsidP="002539BD">
            <w:pPr>
              <w:spacing w:before="60" w:after="60"/>
              <w:jc w:val="both"/>
              <w:rPr>
                <w:rFonts w:asciiTheme="majorHAnsi" w:hAnsiTheme="majorHAnsi"/>
                <w:sz w:val="22"/>
                <w:szCs w:val="22"/>
                <w:lang w:val="bs-Latn-BA"/>
              </w:rPr>
            </w:pPr>
            <w:r w:rsidRPr="0041049B">
              <w:rPr>
                <w:rFonts w:asciiTheme="majorHAnsi" w:hAnsiTheme="majorHAnsi"/>
                <w:sz w:val="22"/>
                <w:szCs w:val="22"/>
                <w:lang w:val="bs-Latn-BA"/>
              </w:rPr>
              <w:t>Analiza izvještaja</w:t>
            </w:r>
          </w:p>
        </w:tc>
        <w:tc>
          <w:tcPr>
            <w:tcW w:w="4536" w:type="dxa"/>
            <w:shd w:val="clear" w:color="auto" w:fill="auto"/>
          </w:tcPr>
          <w:p w:rsidR="00976929" w:rsidRPr="0041049B" w:rsidRDefault="00976929" w:rsidP="002539BD">
            <w:pPr>
              <w:spacing w:before="60" w:after="60"/>
              <w:rPr>
                <w:rFonts w:asciiTheme="majorHAnsi" w:hAnsiTheme="majorHAnsi"/>
                <w:sz w:val="22"/>
                <w:szCs w:val="22"/>
                <w:lang w:val="bs-Latn-BA"/>
              </w:rPr>
            </w:pPr>
            <w:r w:rsidRPr="0041049B">
              <w:rPr>
                <w:rFonts w:asciiTheme="majorHAnsi" w:hAnsiTheme="majorHAnsi"/>
                <w:sz w:val="22"/>
                <w:szCs w:val="22"/>
                <w:lang w:val="bs-Latn-BA"/>
              </w:rPr>
              <w:t>Analiziran je završni projektni izvještaj.</w:t>
            </w:r>
          </w:p>
        </w:tc>
      </w:tr>
    </w:tbl>
    <w:p w:rsidR="00976929" w:rsidRPr="0041049B" w:rsidRDefault="0041049B" w:rsidP="0041049B">
      <w:pPr>
        <w:pStyle w:val="NoSpacing"/>
        <w:spacing w:before="240"/>
        <w:ind w:right="-6"/>
        <w:rPr>
          <w:b/>
          <w:lang w:val="bs-Latn-BA"/>
        </w:rPr>
      </w:pPr>
      <w:r w:rsidRPr="0041049B">
        <w:rPr>
          <w:b/>
          <w:lang w:val="bs-Latn-BA"/>
        </w:rPr>
        <w:lastRenderedPageBreak/>
        <w:t xml:space="preserve">REZULTATI REFORMI U OBLASTI HRM-A </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487AB6"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Govoreći o reformi javne uprave i</w:t>
      </w:r>
      <w:r w:rsidR="00976929" w:rsidRPr="007D3DD7">
        <w:rPr>
          <w:rFonts w:asciiTheme="majorHAnsi" w:hAnsiTheme="majorHAnsi"/>
          <w:sz w:val="22"/>
          <w:szCs w:val="22"/>
          <w:lang w:val="bs-Latn-BA"/>
        </w:rPr>
        <w:t>zvještaj</w:t>
      </w:r>
      <w:r w:rsidRPr="007D3DD7">
        <w:rPr>
          <w:rFonts w:asciiTheme="majorHAnsi" w:hAnsiTheme="majorHAnsi"/>
          <w:sz w:val="22"/>
          <w:szCs w:val="22"/>
          <w:lang w:val="bs-Latn-BA"/>
        </w:rPr>
        <w:t xml:space="preserve"> Evropske komisije (EK) </w:t>
      </w:r>
      <w:r w:rsidR="00976929" w:rsidRPr="007D3DD7">
        <w:rPr>
          <w:rFonts w:asciiTheme="majorHAnsi" w:hAnsiTheme="majorHAnsi"/>
          <w:sz w:val="22"/>
          <w:szCs w:val="22"/>
          <w:lang w:val="bs-Latn-BA"/>
        </w:rPr>
        <w:t xml:space="preserve">o napretku BiH </w:t>
      </w:r>
      <w:r w:rsidRPr="007D3DD7">
        <w:rPr>
          <w:rFonts w:asciiTheme="majorHAnsi" w:hAnsiTheme="majorHAnsi"/>
          <w:sz w:val="22"/>
          <w:szCs w:val="22"/>
          <w:lang w:val="bs-Latn-BA"/>
        </w:rPr>
        <w:t>za 2015. godinu</w:t>
      </w:r>
      <w:r w:rsidR="00976929" w:rsidRPr="007D3DD7">
        <w:rPr>
          <w:rFonts w:asciiTheme="majorHAnsi" w:hAnsiTheme="majorHAnsi"/>
          <w:sz w:val="22"/>
          <w:szCs w:val="22"/>
          <w:lang w:val="bs-Latn-BA"/>
        </w:rPr>
        <w:t xml:space="preserve"> navodi da je B</w:t>
      </w:r>
      <w:r w:rsidRPr="007D3DD7">
        <w:rPr>
          <w:rFonts w:asciiTheme="majorHAnsi" w:hAnsiTheme="majorHAnsi"/>
          <w:sz w:val="22"/>
          <w:szCs w:val="22"/>
          <w:lang w:val="bs-Latn-BA"/>
        </w:rPr>
        <w:t xml:space="preserve">iH </w:t>
      </w:r>
      <w:r w:rsidR="00976929" w:rsidRPr="007D3DD7">
        <w:rPr>
          <w:rFonts w:asciiTheme="majorHAnsi" w:hAnsiTheme="majorHAnsi"/>
          <w:sz w:val="22"/>
          <w:szCs w:val="22"/>
          <w:lang w:val="bs-Latn-BA"/>
        </w:rPr>
        <w:t>u ranoj fazi reforme javne uprave i da u proteklih godinu dana nije bilo napretka, uslijed nedostatka sveobuhvatne političke podrške za reforme u cijeloj zemlji i, između ostalog</w:t>
      </w:r>
      <w:r w:rsidRPr="007D3DD7">
        <w:rPr>
          <w:rFonts w:asciiTheme="majorHAnsi" w:hAnsiTheme="majorHAnsi"/>
          <w:sz w:val="22"/>
          <w:szCs w:val="22"/>
          <w:lang w:val="bs-Latn-BA"/>
        </w:rPr>
        <w:t xml:space="preserve">, </w:t>
      </w:r>
      <w:r w:rsidR="00976929" w:rsidRPr="007D3DD7">
        <w:rPr>
          <w:rFonts w:asciiTheme="majorHAnsi" w:hAnsiTheme="majorHAnsi"/>
          <w:sz w:val="22"/>
          <w:szCs w:val="22"/>
          <w:lang w:val="bs-Latn-BA"/>
        </w:rPr>
        <w:t>politizaciji državne službe koja još uvijek predstavlja problem. Prema ovom izvoru, upravljanje ljudskim potencijalima</w:t>
      </w:r>
      <w:r w:rsidR="002E4893" w:rsidRPr="007D3DD7">
        <w:rPr>
          <w:rFonts w:asciiTheme="majorHAnsi" w:hAnsiTheme="majorHAnsi"/>
          <w:sz w:val="22"/>
          <w:szCs w:val="22"/>
          <w:lang w:val="bs-Latn-BA"/>
        </w:rPr>
        <w:t xml:space="preserve"> je fragmentirano i neefikasno.</w:t>
      </w:r>
      <w:r w:rsidR="002E4893" w:rsidRPr="007D3DD7">
        <w:rPr>
          <w:rStyle w:val="FootnoteReference"/>
          <w:rFonts w:asciiTheme="majorHAnsi" w:hAnsiTheme="majorHAnsi"/>
          <w:sz w:val="22"/>
          <w:szCs w:val="22"/>
          <w:lang w:val="bs-Latn-BA"/>
        </w:rPr>
        <w:footnoteReference w:id="1"/>
      </w:r>
    </w:p>
    <w:p w:rsidR="00A30BB2" w:rsidRDefault="00A30BB2" w:rsidP="00976929">
      <w:pPr>
        <w:spacing w:before="60" w:after="60"/>
        <w:jc w:val="both"/>
        <w:rPr>
          <w:rFonts w:asciiTheme="majorHAnsi" w:hAnsiTheme="majorHAnsi"/>
          <w:sz w:val="22"/>
          <w:szCs w:val="22"/>
          <w:lang w:val="bs-Latn-BA"/>
        </w:rPr>
      </w:pPr>
    </w:p>
    <w:p w:rsidR="00976929" w:rsidRPr="007D3DD7" w:rsidRDefault="008019ED"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Navodi EK iz izvještaja o napretku za 2015. godinu u velikoj mjeri su potvrđeni kroz proces monitoringa</w:t>
      </w:r>
      <w:r w:rsidR="00976929" w:rsidRPr="007D3DD7">
        <w:rPr>
          <w:rFonts w:asciiTheme="majorHAnsi" w:hAnsiTheme="majorHAnsi"/>
          <w:sz w:val="22"/>
          <w:szCs w:val="22"/>
          <w:lang w:val="bs-Latn-BA"/>
        </w:rPr>
        <w:t xml:space="preserve">. </w:t>
      </w:r>
      <w:r w:rsidRPr="007D3DD7">
        <w:rPr>
          <w:rFonts w:asciiTheme="majorHAnsi" w:hAnsiTheme="majorHAnsi"/>
          <w:sz w:val="22"/>
          <w:szCs w:val="22"/>
          <w:lang w:val="bs-Latn-BA"/>
        </w:rPr>
        <w:t>Iako je bilo određenih pomaka u praksi upravljanja ljudskim potencijalima, ti pomaci nemaju ni opseg ni dubinu da bi značajnije uticali na proces modernizacije u ovoj oblasti. U nastavku je dat pregled najznačajnijih aktivnosti i rezultata u osam pojedinačnih oblasti HRM-a.</w:t>
      </w:r>
    </w:p>
    <w:p w:rsidR="002E4893" w:rsidRPr="007D3DD7" w:rsidRDefault="002E4893" w:rsidP="00976929">
      <w:pPr>
        <w:pStyle w:val="Heading3"/>
        <w:spacing w:before="60"/>
        <w:jc w:val="both"/>
        <w:rPr>
          <w:rFonts w:asciiTheme="majorHAnsi" w:hAnsiTheme="majorHAnsi"/>
          <w:sz w:val="22"/>
          <w:szCs w:val="22"/>
          <w:lang w:val="bs-Latn-BA"/>
        </w:rPr>
      </w:pPr>
    </w:p>
    <w:p w:rsidR="00976929" w:rsidRPr="0041049B" w:rsidRDefault="00976929" w:rsidP="0041049B">
      <w:pPr>
        <w:pStyle w:val="NoSpacing"/>
        <w:spacing w:before="240"/>
        <w:ind w:right="-6"/>
        <w:rPr>
          <w:b/>
          <w:lang w:val="bs-Latn-BA"/>
        </w:rPr>
      </w:pPr>
      <w:r w:rsidRPr="0041049B">
        <w:rPr>
          <w:b/>
          <w:lang w:val="bs-Latn-BA"/>
        </w:rPr>
        <w:t>Pozicioniranje HRM-a</w:t>
      </w:r>
    </w:p>
    <w:p w:rsidR="002E4893" w:rsidRPr="007D3DD7" w:rsidRDefault="002E4893" w:rsidP="00976929">
      <w:pPr>
        <w:pStyle w:val="Heading3"/>
        <w:spacing w:before="60"/>
        <w:jc w:val="both"/>
        <w:rPr>
          <w:rFonts w:asciiTheme="majorHAnsi" w:eastAsia="MS Mincho" w:hAnsiTheme="majorHAnsi"/>
          <w:b w:val="0"/>
          <w:sz w:val="22"/>
          <w:szCs w:val="22"/>
          <w:lang w:val="bs-Latn-BA"/>
        </w:rPr>
      </w:pPr>
    </w:p>
    <w:p w:rsidR="002E4893" w:rsidRPr="007D3DD7" w:rsidRDefault="00976929" w:rsidP="002E4893">
      <w:pPr>
        <w:jc w:val="both"/>
        <w:rPr>
          <w:rFonts w:asciiTheme="majorHAnsi" w:hAnsiTheme="majorHAnsi"/>
          <w:sz w:val="22"/>
          <w:szCs w:val="22"/>
          <w:lang w:val="bs-Latn-BA"/>
        </w:rPr>
      </w:pPr>
      <w:r w:rsidRPr="007D3DD7">
        <w:rPr>
          <w:rFonts w:asciiTheme="majorHAnsi" w:hAnsiTheme="majorHAnsi"/>
          <w:sz w:val="22"/>
          <w:szCs w:val="22"/>
          <w:lang w:val="bs-Latn-BA"/>
        </w:rPr>
        <w:t xml:space="preserve">Pod pojmom ‘pozicioniranje’ podrazumijeva se prije svega mjesto koje HRM kao funkcija ima u organizacijskoj strukturi institucija javne uprave. U ovom poglavlju smo nastojali registrovati i druge činjenice koje bi mogle upotpuniti sliku o značaju, odnosno statusu koji HRM funkcija ima u pojedinim institucijama. </w:t>
      </w:r>
    </w:p>
    <w:p w:rsidR="002E4893" w:rsidRPr="007D3DD7" w:rsidRDefault="002E4893" w:rsidP="002E4893">
      <w:pPr>
        <w:jc w:val="both"/>
        <w:rPr>
          <w:rFonts w:asciiTheme="majorHAnsi" w:hAnsiTheme="majorHAnsi"/>
          <w:sz w:val="22"/>
          <w:szCs w:val="22"/>
          <w:lang w:val="bs-Latn-BA"/>
        </w:rPr>
      </w:pPr>
    </w:p>
    <w:p w:rsidR="002E4893" w:rsidRPr="007D3DD7" w:rsidRDefault="00976929" w:rsidP="002E4893">
      <w:pPr>
        <w:jc w:val="both"/>
        <w:rPr>
          <w:rFonts w:asciiTheme="majorHAnsi" w:hAnsiTheme="majorHAnsi"/>
          <w:sz w:val="22"/>
          <w:szCs w:val="22"/>
          <w:lang w:val="bs-Latn-BA"/>
        </w:rPr>
      </w:pPr>
      <w:r w:rsidRPr="007D3DD7">
        <w:rPr>
          <w:rFonts w:asciiTheme="majorHAnsi" w:hAnsiTheme="majorHAnsi"/>
          <w:sz w:val="22"/>
          <w:szCs w:val="22"/>
          <w:lang w:val="bs-Latn-BA"/>
        </w:rPr>
        <w:t xml:space="preserve">U slučaju nekih institucija koje su učestvovale </w:t>
      </w:r>
      <w:r w:rsidR="002E4893" w:rsidRPr="007D3DD7">
        <w:rPr>
          <w:rFonts w:asciiTheme="majorHAnsi" w:hAnsiTheme="majorHAnsi"/>
          <w:sz w:val="22"/>
          <w:szCs w:val="22"/>
          <w:lang w:val="bs-Latn-BA"/>
        </w:rPr>
        <w:t>u istraživanju</w:t>
      </w:r>
      <w:r w:rsidRPr="007D3DD7">
        <w:rPr>
          <w:rFonts w:asciiTheme="majorHAnsi" w:hAnsiTheme="majorHAnsi"/>
          <w:sz w:val="22"/>
          <w:szCs w:val="22"/>
          <w:lang w:val="bs-Latn-BA"/>
        </w:rPr>
        <w:t xml:space="preserve"> na PARM </w:t>
      </w:r>
      <w:r w:rsidR="002E4893" w:rsidRPr="007D3DD7">
        <w:rPr>
          <w:rFonts w:asciiTheme="majorHAnsi" w:hAnsiTheme="majorHAnsi"/>
          <w:sz w:val="22"/>
          <w:szCs w:val="22"/>
          <w:lang w:val="bs-Latn-BA"/>
        </w:rPr>
        <w:t xml:space="preserve"> projektu, </w:t>
      </w:r>
      <w:r w:rsidR="00BE3BC3" w:rsidRPr="007D3DD7">
        <w:rPr>
          <w:rFonts w:asciiTheme="majorHAnsi" w:hAnsiTheme="majorHAnsi"/>
          <w:sz w:val="22"/>
          <w:szCs w:val="22"/>
          <w:lang w:val="bs-Latn-BA"/>
        </w:rPr>
        <w:t xml:space="preserve">kao na primjer Sektor za upravljanje personalom Ministarstva obrane BiH, Odsjek za upravljanje ljudskim resursima i obukama u okviru Sektora za ljudske resurse, pravne, finansijsko-materijalne poslove i pisarnicu Direkcije za koordinaciju policijskih tijela BiH, </w:t>
      </w:r>
      <w:r w:rsidR="009C182E" w:rsidRPr="007D3DD7">
        <w:rPr>
          <w:rFonts w:asciiTheme="majorHAnsi" w:hAnsiTheme="majorHAnsi"/>
          <w:sz w:val="22"/>
          <w:szCs w:val="22"/>
          <w:lang w:val="bs-Latn-BA"/>
        </w:rPr>
        <w:t>i Odsjek za ljudske potencijale u Odjeljenju za ljudske potencijale, obuku i finansijske poslove Agencije za državnu službu FBiH,</w:t>
      </w:r>
      <w:r w:rsidR="00BE3BC3" w:rsidRPr="007D3DD7">
        <w:rPr>
          <w:rFonts w:asciiTheme="majorHAnsi" w:hAnsiTheme="majorHAnsi"/>
          <w:sz w:val="22"/>
          <w:szCs w:val="22"/>
          <w:lang w:val="bs-Latn-BA"/>
        </w:rPr>
        <w:t xml:space="preserve"> </w:t>
      </w:r>
      <w:r w:rsidRPr="007D3DD7">
        <w:rPr>
          <w:rFonts w:asciiTheme="majorHAnsi" w:hAnsiTheme="majorHAnsi"/>
          <w:sz w:val="22"/>
          <w:szCs w:val="22"/>
          <w:lang w:val="bs-Latn-BA"/>
        </w:rPr>
        <w:t xml:space="preserve">HRM je prepoznat kao nešto više od tradicionalne administrativne funkcije upravljanja kadrovima, ali još uvijek </w:t>
      </w:r>
      <w:r w:rsidR="002E4893" w:rsidRPr="007D3DD7">
        <w:rPr>
          <w:rFonts w:asciiTheme="majorHAnsi" w:hAnsiTheme="majorHAnsi"/>
          <w:sz w:val="22"/>
          <w:szCs w:val="22"/>
          <w:lang w:val="bs-Latn-BA"/>
        </w:rPr>
        <w:t xml:space="preserve">nije </w:t>
      </w:r>
      <w:r w:rsidRPr="007D3DD7">
        <w:rPr>
          <w:rFonts w:asciiTheme="majorHAnsi" w:hAnsiTheme="majorHAnsi"/>
          <w:sz w:val="22"/>
          <w:szCs w:val="22"/>
          <w:lang w:val="bs-Latn-BA"/>
        </w:rPr>
        <w:t>prepoznat kao strateška, profesionalna funkcija koja omogućava jedinicama/tijelima/upravnim struktu</w:t>
      </w:r>
      <w:r w:rsidR="002E4893" w:rsidRPr="007D3DD7">
        <w:rPr>
          <w:rFonts w:asciiTheme="majorHAnsi" w:hAnsiTheme="majorHAnsi"/>
          <w:sz w:val="22"/>
          <w:szCs w:val="22"/>
          <w:lang w:val="bs-Latn-BA"/>
        </w:rPr>
        <w:t>rama da postignu svoje ciljeve.</w:t>
      </w:r>
      <w:r w:rsidR="00BE3BC3" w:rsidRPr="007D3DD7">
        <w:rPr>
          <w:rFonts w:asciiTheme="majorHAnsi" w:hAnsiTheme="majorHAnsi"/>
          <w:sz w:val="22"/>
          <w:szCs w:val="22"/>
          <w:lang w:val="bs-Latn-BA"/>
        </w:rPr>
        <w:t xml:space="preserve"> </w:t>
      </w:r>
    </w:p>
    <w:p w:rsidR="002E4893" w:rsidRPr="007D3DD7" w:rsidRDefault="002E4893" w:rsidP="002E4893">
      <w:pPr>
        <w:jc w:val="both"/>
        <w:rPr>
          <w:rFonts w:asciiTheme="majorHAnsi" w:hAnsiTheme="majorHAnsi"/>
          <w:sz w:val="22"/>
          <w:szCs w:val="22"/>
          <w:lang w:val="bs-Latn-BA"/>
        </w:rPr>
      </w:pPr>
    </w:p>
    <w:p w:rsidR="00976929" w:rsidRPr="007D3DD7" w:rsidRDefault="00D53624" w:rsidP="002E4893">
      <w:pPr>
        <w:jc w:val="both"/>
        <w:rPr>
          <w:rFonts w:asciiTheme="majorHAnsi" w:hAnsiTheme="majorHAnsi"/>
          <w:sz w:val="22"/>
          <w:szCs w:val="22"/>
          <w:lang w:val="bs-Latn-BA"/>
        </w:rPr>
      </w:pPr>
      <w:r w:rsidRPr="007D3DD7">
        <w:rPr>
          <w:rFonts w:asciiTheme="majorHAnsi" w:hAnsiTheme="majorHAnsi"/>
          <w:sz w:val="22"/>
          <w:szCs w:val="22"/>
          <w:lang w:val="bs-Latn-BA"/>
        </w:rPr>
        <w:t>Nadalje, uočeno je da usl</w:t>
      </w:r>
      <w:r w:rsidR="00976929" w:rsidRPr="007D3DD7">
        <w:rPr>
          <w:rFonts w:asciiTheme="majorHAnsi" w:hAnsiTheme="majorHAnsi"/>
          <w:sz w:val="22"/>
          <w:szCs w:val="22"/>
          <w:lang w:val="bs-Latn-BA"/>
        </w:rPr>
        <w:t xml:space="preserve">jed kompleksnosti strukture administrativne organizacije BiH postoji velika razlika u razumjevanju i implementaciji modernog upravljanja ljudskim potencijalima između različitih tijela i nivoa vlasti. U većini institucija HRM </w:t>
      </w:r>
      <w:r w:rsidR="007D1AEC" w:rsidRPr="007D3DD7">
        <w:rPr>
          <w:rFonts w:asciiTheme="majorHAnsi" w:hAnsiTheme="majorHAnsi"/>
          <w:sz w:val="22"/>
          <w:szCs w:val="22"/>
          <w:lang w:val="bs-Latn-BA"/>
        </w:rPr>
        <w:t xml:space="preserve">je </w:t>
      </w:r>
      <w:r w:rsidR="00976929" w:rsidRPr="007D3DD7">
        <w:rPr>
          <w:rFonts w:asciiTheme="majorHAnsi" w:hAnsiTheme="majorHAnsi"/>
          <w:sz w:val="22"/>
          <w:szCs w:val="22"/>
          <w:lang w:val="bs-Latn-BA"/>
        </w:rPr>
        <w:t xml:space="preserve">i dalje </w:t>
      </w:r>
      <w:r w:rsidR="007D1AEC" w:rsidRPr="007D3DD7">
        <w:rPr>
          <w:rFonts w:asciiTheme="majorHAnsi" w:hAnsiTheme="majorHAnsi"/>
          <w:sz w:val="22"/>
          <w:szCs w:val="22"/>
          <w:lang w:val="bs-Latn-BA"/>
        </w:rPr>
        <w:t>lociran</w:t>
      </w:r>
      <w:r w:rsidR="00976929" w:rsidRPr="007D3DD7">
        <w:rPr>
          <w:rFonts w:asciiTheme="majorHAnsi" w:hAnsiTheme="majorHAnsi"/>
          <w:sz w:val="22"/>
          <w:szCs w:val="22"/>
          <w:lang w:val="bs-Latn-BA"/>
        </w:rPr>
        <w:t xml:space="preserve"> u </w:t>
      </w:r>
      <w:r w:rsidR="007D1AEC" w:rsidRPr="007D3DD7">
        <w:rPr>
          <w:rFonts w:asciiTheme="majorHAnsi" w:hAnsiTheme="majorHAnsi"/>
          <w:sz w:val="22"/>
          <w:szCs w:val="22"/>
          <w:lang w:val="bs-Latn-BA"/>
        </w:rPr>
        <w:t>odsjecima/službama</w:t>
      </w:r>
      <w:r w:rsidR="00976929" w:rsidRPr="007D3DD7">
        <w:rPr>
          <w:rFonts w:asciiTheme="majorHAnsi" w:hAnsiTheme="majorHAnsi"/>
          <w:sz w:val="22"/>
          <w:szCs w:val="22"/>
          <w:lang w:val="bs-Latn-BA"/>
        </w:rPr>
        <w:t xml:space="preserve"> za materijalno-finansijske, opće i pravne poslove. Veće institucije </w:t>
      </w:r>
      <w:r w:rsidR="007D1AEC" w:rsidRPr="007D3DD7">
        <w:rPr>
          <w:rFonts w:asciiTheme="majorHAnsi" w:hAnsiTheme="majorHAnsi"/>
          <w:sz w:val="22"/>
          <w:szCs w:val="22"/>
          <w:lang w:val="bs-Latn-BA"/>
        </w:rPr>
        <w:t xml:space="preserve">poput </w:t>
      </w:r>
      <w:r w:rsidR="009C182E" w:rsidRPr="007D3DD7">
        <w:rPr>
          <w:rFonts w:asciiTheme="majorHAnsi" w:hAnsiTheme="majorHAnsi"/>
          <w:sz w:val="22"/>
          <w:szCs w:val="22"/>
          <w:lang w:val="bs-Latn-BA"/>
        </w:rPr>
        <w:t xml:space="preserve"> Ministarstva obrane BiH </w:t>
      </w:r>
      <w:r w:rsidR="00976929" w:rsidRPr="007D3DD7">
        <w:rPr>
          <w:rFonts w:asciiTheme="majorHAnsi" w:hAnsiTheme="majorHAnsi"/>
          <w:sz w:val="22"/>
          <w:szCs w:val="22"/>
          <w:lang w:val="bs-Latn-BA"/>
        </w:rPr>
        <w:t>imaju zaseban odsjek koji se bavi tematikom HRM-a. Mada u praksi</w:t>
      </w:r>
      <w:r w:rsidR="00FC7F49" w:rsidRPr="007D3DD7">
        <w:rPr>
          <w:rFonts w:asciiTheme="majorHAnsi" w:hAnsiTheme="majorHAnsi"/>
          <w:sz w:val="22"/>
          <w:szCs w:val="22"/>
          <w:lang w:val="bs-Latn-BA"/>
        </w:rPr>
        <w:t>,</w:t>
      </w:r>
      <w:r w:rsidR="00976929" w:rsidRPr="007D3DD7">
        <w:rPr>
          <w:rFonts w:asciiTheme="majorHAnsi" w:hAnsiTheme="majorHAnsi"/>
          <w:sz w:val="22"/>
          <w:szCs w:val="22"/>
          <w:lang w:val="bs-Latn-BA"/>
        </w:rPr>
        <w:t xml:space="preserve"> čak i ako se u nazivu odsjeka/radnog mjesta koristi termin upravlj</w:t>
      </w:r>
      <w:r w:rsidR="007D1AEC" w:rsidRPr="007D3DD7">
        <w:rPr>
          <w:rFonts w:asciiTheme="majorHAnsi" w:hAnsiTheme="majorHAnsi"/>
          <w:sz w:val="22"/>
          <w:szCs w:val="22"/>
          <w:lang w:val="bs-Latn-BA"/>
        </w:rPr>
        <w:t>anje</w:t>
      </w:r>
      <w:r w:rsidR="00976929" w:rsidRPr="007D3DD7">
        <w:rPr>
          <w:rFonts w:asciiTheme="majorHAnsi" w:hAnsiTheme="majorHAnsi"/>
          <w:sz w:val="22"/>
          <w:szCs w:val="22"/>
          <w:lang w:val="bs-Latn-BA"/>
        </w:rPr>
        <w:t xml:space="preserve"> ljudskim potencijalima</w:t>
      </w:r>
      <w:r w:rsidR="007D1AEC" w:rsidRPr="007D3DD7">
        <w:rPr>
          <w:rFonts w:asciiTheme="majorHAnsi" w:hAnsiTheme="majorHAnsi"/>
          <w:sz w:val="22"/>
          <w:szCs w:val="22"/>
          <w:lang w:val="bs-Latn-BA"/>
        </w:rPr>
        <w:t>,</w:t>
      </w:r>
      <w:r w:rsidR="00976929" w:rsidRPr="007D3DD7">
        <w:rPr>
          <w:rFonts w:asciiTheme="majorHAnsi" w:hAnsiTheme="majorHAnsi"/>
          <w:sz w:val="22"/>
          <w:szCs w:val="22"/>
          <w:lang w:val="bs-Latn-BA"/>
        </w:rPr>
        <w:t xml:space="preserve"> poslovi koji se obavljaju u sklopu te </w:t>
      </w:r>
      <w:r w:rsidR="00FC7F49" w:rsidRPr="007D3DD7">
        <w:rPr>
          <w:rFonts w:asciiTheme="majorHAnsi" w:hAnsiTheme="majorHAnsi"/>
          <w:sz w:val="22"/>
          <w:szCs w:val="22"/>
          <w:lang w:val="bs-Latn-BA"/>
        </w:rPr>
        <w:t xml:space="preserve">organizacione </w:t>
      </w:r>
      <w:r w:rsidR="00976929" w:rsidRPr="007D3DD7">
        <w:rPr>
          <w:rFonts w:asciiTheme="majorHAnsi" w:hAnsiTheme="majorHAnsi"/>
          <w:sz w:val="22"/>
          <w:szCs w:val="22"/>
          <w:lang w:val="bs-Latn-BA"/>
        </w:rPr>
        <w:t xml:space="preserve">jedinice/radnog mjesta su i dalje pretežno administrativnog karaktera te se ne može reći da se bave </w:t>
      </w:r>
      <w:r w:rsidR="007D1AEC" w:rsidRPr="007D3DD7">
        <w:rPr>
          <w:rFonts w:asciiTheme="majorHAnsi" w:hAnsiTheme="majorHAnsi"/>
          <w:sz w:val="22"/>
          <w:szCs w:val="22"/>
          <w:lang w:val="bs-Latn-BA"/>
        </w:rPr>
        <w:t>ključnim</w:t>
      </w:r>
      <w:r w:rsidR="00976929" w:rsidRPr="007D3DD7">
        <w:rPr>
          <w:rFonts w:asciiTheme="majorHAnsi" w:hAnsiTheme="majorHAnsi"/>
          <w:sz w:val="22"/>
          <w:szCs w:val="22"/>
          <w:lang w:val="bs-Latn-BA"/>
        </w:rPr>
        <w:t xml:space="preserve"> oblastima</w:t>
      </w:r>
      <w:r w:rsidR="007D1AEC" w:rsidRPr="007D3DD7">
        <w:rPr>
          <w:rFonts w:asciiTheme="majorHAnsi" w:hAnsiTheme="majorHAnsi"/>
          <w:sz w:val="22"/>
          <w:szCs w:val="22"/>
          <w:lang w:val="bs-Latn-BA"/>
        </w:rPr>
        <w:t xml:space="preserve"> </w:t>
      </w:r>
      <w:r w:rsidR="00976929" w:rsidRPr="007D3DD7">
        <w:rPr>
          <w:rFonts w:asciiTheme="majorHAnsi" w:hAnsiTheme="majorHAnsi"/>
          <w:sz w:val="22"/>
          <w:szCs w:val="22"/>
          <w:lang w:val="bs-Latn-BA"/>
        </w:rPr>
        <w:t xml:space="preserve">modernog sistema upravljanja </w:t>
      </w:r>
      <w:r w:rsidRPr="007D3DD7">
        <w:rPr>
          <w:rFonts w:asciiTheme="majorHAnsi" w:hAnsiTheme="majorHAnsi"/>
          <w:sz w:val="22"/>
          <w:szCs w:val="22"/>
          <w:lang w:val="bs-Latn-BA"/>
        </w:rPr>
        <w:t>ljudima</w:t>
      </w:r>
      <w:r w:rsidR="00976929" w:rsidRPr="007D3DD7">
        <w:rPr>
          <w:rFonts w:asciiTheme="majorHAnsi" w:hAnsiTheme="majorHAnsi"/>
          <w:sz w:val="22"/>
          <w:szCs w:val="22"/>
          <w:lang w:val="bs-Latn-BA"/>
        </w:rPr>
        <w:t>.</w:t>
      </w:r>
    </w:p>
    <w:p w:rsidR="002E4893" w:rsidRPr="007D3DD7" w:rsidRDefault="002E4893" w:rsidP="002E4893">
      <w:pPr>
        <w:jc w:val="both"/>
        <w:rPr>
          <w:rFonts w:asciiTheme="majorHAnsi" w:hAnsiTheme="majorHAnsi"/>
          <w:sz w:val="22"/>
          <w:szCs w:val="22"/>
          <w:lang w:val="bs-Latn-BA"/>
        </w:rPr>
      </w:pPr>
    </w:p>
    <w:p w:rsidR="00976929" w:rsidRPr="007D3DD7" w:rsidRDefault="00806224" w:rsidP="002E4893">
      <w:pPr>
        <w:jc w:val="both"/>
        <w:rPr>
          <w:rFonts w:asciiTheme="majorHAnsi" w:hAnsiTheme="majorHAnsi"/>
          <w:sz w:val="22"/>
          <w:szCs w:val="22"/>
          <w:lang w:val="bs-Latn-BA"/>
        </w:rPr>
      </w:pPr>
      <w:r w:rsidRPr="007D3DD7">
        <w:rPr>
          <w:rFonts w:asciiTheme="majorHAnsi" w:hAnsiTheme="majorHAnsi"/>
          <w:sz w:val="22"/>
          <w:szCs w:val="22"/>
          <w:lang w:val="bs-Latn-BA"/>
        </w:rPr>
        <w:t xml:space="preserve">Činjenica da </w:t>
      </w:r>
      <w:r w:rsidR="009C182E" w:rsidRPr="007D3DD7">
        <w:rPr>
          <w:rFonts w:asciiTheme="majorHAnsi" w:hAnsiTheme="majorHAnsi"/>
          <w:sz w:val="22"/>
          <w:szCs w:val="22"/>
          <w:lang w:val="bs-Latn-BA"/>
        </w:rPr>
        <w:t>tri anketirane</w:t>
      </w:r>
      <w:r w:rsidR="00FC7F49" w:rsidRPr="007D3DD7">
        <w:rPr>
          <w:rFonts w:asciiTheme="majorHAnsi" w:hAnsiTheme="majorHAnsi"/>
          <w:sz w:val="22"/>
          <w:szCs w:val="22"/>
          <w:lang w:val="bs-Latn-BA"/>
        </w:rPr>
        <w:t xml:space="preserve"> </w:t>
      </w:r>
      <w:r w:rsidR="009C182E" w:rsidRPr="007D3DD7">
        <w:rPr>
          <w:rFonts w:asciiTheme="majorHAnsi" w:hAnsiTheme="majorHAnsi"/>
          <w:sz w:val="22"/>
          <w:szCs w:val="22"/>
          <w:lang w:val="bs-Latn-BA"/>
        </w:rPr>
        <w:t>institucije</w:t>
      </w:r>
      <w:r w:rsidR="00976929" w:rsidRPr="007D3DD7">
        <w:rPr>
          <w:rFonts w:asciiTheme="majorHAnsi" w:hAnsiTheme="majorHAnsi"/>
          <w:sz w:val="22"/>
          <w:szCs w:val="22"/>
          <w:lang w:val="bs-Latn-BA"/>
        </w:rPr>
        <w:t xml:space="preserve"> na državnom nivou</w:t>
      </w:r>
      <w:r w:rsidR="009C182E" w:rsidRPr="007D3DD7">
        <w:rPr>
          <w:rFonts w:asciiTheme="majorHAnsi" w:hAnsiTheme="majorHAnsi"/>
          <w:sz w:val="22"/>
          <w:szCs w:val="22"/>
          <w:lang w:val="bs-Latn-BA"/>
        </w:rPr>
        <w:t xml:space="preserve"> (</w:t>
      </w:r>
      <w:r w:rsidR="00786126" w:rsidRPr="007D3DD7">
        <w:rPr>
          <w:rFonts w:asciiTheme="majorHAnsi" w:hAnsiTheme="majorHAnsi"/>
          <w:sz w:val="22"/>
          <w:szCs w:val="22"/>
          <w:lang w:val="bs-Latn-BA"/>
        </w:rPr>
        <w:t xml:space="preserve">Regulatorna agencija za komunikacije – RAK,  Agencija za razvoj visokog obrazovanja i osiguranje kvaliteta  - </w:t>
      </w:r>
      <w:r w:rsidR="009C182E" w:rsidRPr="007D3DD7">
        <w:rPr>
          <w:rFonts w:asciiTheme="majorHAnsi" w:hAnsiTheme="majorHAnsi"/>
          <w:sz w:val="22"/>
          <w:szCs w:val="22"/>
          <w:lang w:val="bs-Latn-BA"/>
        </w:rPr>
        <w:t xml:space="preserve">HEA, </w:t>
      </w:r>
      <w:r w:rsidR="00786126" w:rsidRPr="007D3DD7">
        <w:rPr>
          <w:rFonts w:asciiTheme="majorHAnsi" w:hAnsiTheme="majorHAnsi"/>
          <w:sz w:val="22"/>
          <w:szCs w:val="22"/>
          <w:lang w:val="bs-Latn-BA"/>
        </w:rPr>
        <w:t xml:space="preserve">Agencija za državnu službu - </w:t>
      </w:r>
      <w:r w:rsidR="009C182E" w:rsidRPr="007D3DD7">
        <w:rPr>
          <w:rFonts w:asciiTheme="majorHAnsi" w:hAnsiTheme="majorHAnsi"/>
          <w:sz w:val="22"/>
          <w:szCs w:val="22"/>
          <w:lang w:val="bs-Latn-BA"/>
        </w:rPr>
        <w:t xml:space="preserve">ADS BiH) podacima </w:t>
      </w:r>
      <w:r w:rsidR="00FC7F49" w:rsidRPr="007D3DD7">
        <w:rPr>
          <w:rFonts w:asciiTheme="majorHAnsi" w:hAnsiTheme="majorHAnsi"/>
          <w:sz w:val="22"/>
          <w:szCs w:val="22"/>
          <w:lang w:val="bs-Latn-BA"/>
        </w:rPr>
        <w:t xml:space="preserve"> (kao i </w:t>
      </w:r>
      <w:r w:rsidR="00976929" w:rsidRPr="007D3DD7">
        <w:rPr>
          <w:rFonts w:asciiTheme="majorHAnsi" w:hAnsiTheme="majorHAnsi"/>
          <w:sz w:val="22"/>
          <w:szCs w:val="22"/>
          <w:lang w:val="bs-Latn-BA"/>
        </w:rPr>
        <w:t>jedna institucija na nivou FBiH</w:t>
      </w:r>
      <w:r w:rsidR="00FC7F49" w:rsidRPr="007D3DD7">
        <w:rPr>
          <w:rFonts w:asciiTheme="majorHAnsi" w:hAnsiTheme="majorHAnsi"/>
          <w:sz w:val="22"/>
          <w:szCs w:val="22"/>
          <w:lang w:val="bs-Latn-BA"/>
        </w:rPr>
        <w:t>)</w:t>
      </w:r>
      <w:r w:rsidR="00976929" w:rsidRPr="007D3DD7">
        <w:rPr>
          <w:rFonts w:asciiTheme="majorHAnsi" w:hAnsiTheme="majorHAnsi"/>
          <w:sz w:val="22"/>
          <w:szCs w:val="22"/>
          <w:lang w:val="bs-Latn-BA"/>
        </w:rPr>
        <w:t xml:space="preserve"> </w:t>
      </w:r>
      <w:r w:rsidR="009C182E" w:rsidRPr="007D3DD7">
        <w:rPr>
          <w:rFonts w:asciiTheme="majorHAnsi" w:hAnsiTheme="majorHAnsi"/>
          <w:sz w:val="22"/>
          <w:szCs w:val="22"/>
          <w:lang w:val="bs-Latn-BA"/>
        </w:rPr>
        <w:t>trenutno rade</w:t>
      </w:r>
      <w:r w:rsidRPr="007D3DD7">
        <w:rPr>
          <w:rFonts w:asciiTheme="majorHAnsi" w:hAnsiTheme="majorHAnsi"/>
          <w:sz w:val="22"/>
          <w:szCs w:val="22"/>
          <w:lang w:val="bs-Latn-BA"/>
        </w:rPr>
        <w:t xml:space="preserve"> na pripremi </w:t>
      </w:r>
      <w:r w:rsidR="00976929" w:rsidRPr="007D3DD7">
        <w:rPr>
          <w:rFonts w:asciiTheme="majorHAnsi" w:hAnsiTheme="majorHAnsi"/>
          <w:sz w:val="22"/>
          <w:szCs w:val="22"/>
          <w:lang w:val="bs-Latn-BA"/>
        </w:rPr>
        <w:t>nov</w:t>
      </w:r>
      <w:r w:rsidRPr="007D3DD7">
        <w:rPr>
          <w:rFonts w:asciiTheme="majorHAnsi" w:hAnsiTheme="majorHAnsi"/>
          <w:sz w:val="22"/>
          <w:szCs w:val="22"/>
          <w:lang w:val="bs-Latn-BA"/>
        </w:rPr>
        <w:t>og</w:t>
      </w:r>
      <w:r w:rsidR="00976929" w:rsidRPr="007D3DD7">
        <w:rPr>
          <w:rFonts w:asciiTheme="majorHAnsi" w:hAnsiTheme="majorHAnsi"/>
          <w:sz w:val="22"/>
          <w:szCs w:val="22"/>
          <w:lang w:val="bs-Latn-BA"/>
        </w:rPr>
        <w:t xml:space="preserve"> </w:t>
      </w:r>
      <w:r w:rsidR="007D1AEC" w:rsidRPr="007D3DD7">
        <w:rPr>
          <w:rFonts w:asciiTheme="majorHAnsi" w:hAnsiTheme="majorHAnsi"/>
          <w:sz w:val="22"/>
          <w:szCs w:val="22"/>
          <w:lang w:val="bs-Latn-BA"/>
        </w:rPr>
        <w:t>p</w:t>
      </w:r>
      <w:r w:rsidR="00976929" w:rsidRPr="007D3DD7">
        <w:rPr>
          <w:rFonts w:asciiTheme="majorHAnsi" w:hAnsiTheme="majorHAnsi"/>
          <w:sz w:val="22"/>
          <w:szCs w:val="22"/>
          <w:lang w:val="bs-Latn-BA"/>
        </w:rPr>
        <w:t>ravilnik</w:t>
      </w:r>
      <w:r w:rsidRPr="007D3DD7">
        <w:rPr>
          <w:rFonts w:asciiTheme="majorHAnsi" w:hAnsiTheme="majorHAnsi"/>
          <w:sz w:val="22"/>
          <w:szCs w:val="22"/>
          <w:lang w:val="bs-Latn-BA"/>
        </w:rPr>
        <w:t>a</w:t>
      </w:r>
      <w:r w:rsidR="00976929" w:rsidRPr="007D3DD7">
        <w:rPr>
          <w:rFonts w:asciiTheme="majorHAnsi" w:hAnsiTheme="majorHAnsi"/>
          <w:sz w:val="22"/>
          <w:szCs w:val="22"/>
          <w:lang w:val="bs-Latn-BA"/>
        </w:rPr>
        <w:t xml:space="preserve"> o sistematizaciji i </w:t>
      </w:r>
      <w:r w:rsidRPr="007D3DD7">
        <w:rPr>
          <w:rFonts w:asciiTheme="majorHAnsi" w:hAnsiTheme="majorHAnsi"/>
          <w:sz w:val="22"/>
          <w:szCs w:val="22"/>
          <w:lang w:val="bs-Latn-BA"/>
        </w:rPr>
        <w:t xml:space="preserve">unutrašnjoj </w:t>
      </w:r>
      <w:r w:rsidR="00976929" w:rsidRPr="007D3DD7">
        <w:rPr>
          <w:rFonts w:asciiTheme="majorHAnsi" w:hAnsiTheme="majorHAnsi"/>
          <w:sz w:val="22"/>
          <w:szCs w:val="22"/>
          <w:lang w:val="bs-Latn-BA"/>
        </w:rPr>
        <w:t>organizaciji</w:t>
      </w:r>
      <w:r w:rsidRPr="007D3DD7">
        <w:rPr>
          <w:rFonts w:asciiTheme="majorHAnsi" w:hAnsiTheme="majorHAnsi"/>
          <w:sz w:val="22"/>
          <w:szCs w:val="22"/>
          <w:lang w:val="bs-Latn-BA"/>
        </w:rPr>
        <w:t xml:space="preserve">, i da u tom procesu očekuju </w:t>
      </w:r>
      <w:r w:rsidR="00976929" w:rsidRPr="007D3DD7">
        <w:rPr>
          <w:rFonts w:asciiTheme="majorHAnsi" w:hAnsiTheme="majorHAnsi"/>
          <w:sz w:val="22"/>
          <w:szCs w:val="22"/>
          <w:lang w:val="bs-Latn-BA"/>
        </w:rPr>
        <w:t>adekvatno pozicionira</w:t>
      </w:r>
      <w:r w:rsidRPr="007D3DD7">
        <w:rPr>
          <w:rFonts w:asciiTheme="majorHAnsi" w:hAnsiTheme="majorHAnsi"/>
          <w:sz w:val="22"/>
          <w:szCs w:val="22"/>
          <w:lang w:val="bs-Latn-BA"/>
        </w:rPr>
        <w:t>nje</w:t>
      </w:r>
      <w:r w:rsidR="00976929" w:rsidRPr="007D3DD7">
        <w:rPr>
          <w:rFonts w:asciiTheme="majorHAnsi" w:hAnsiTheme="majorHAnsi"/>
          <w:sz w:val="22"/>
          <w:szCs w:val="22"/>
          <w:lang w:val="bs-Latn-BA"/>
        </w:rPr>
        <w:t xml:space="preserve"> </w:t>
      </w:r>
      <w:r w:rsidRPr="007D3DD7">
        <w:rPr>
          <w:rFonts w:asciiTheme="majorHAnsi" w:hAnsiTheme="majorHAnsi"/>
          <w:sz w:val="22"/>
          <w:szCs w:val="22"/>
          <w:lang w:val="bs-Latn-BA"/>
        </w:rPr>
        <w:t xml:space="preserve">HRM funkcije, zvuči ohrabrujuće. Ipak, na krajnji ishod ovih nastojanja utiču mnogi faktori, tako da konačnu ocjenu napretka </w:t>
      </w:r>
      <w:r w:rsidR="00E80C17" w:rsidRPr="007D3DD7">
        <w:rPr>
          <w:rFonts w:asciiTheme="majorHAnsi" w:hAnsiTheme="majorHAnsi"/>
          <w:sz w:val="22"/>
          <w:szCs w:val="22"/>
          <w:lang w:val="bs-Latn-BA"/>
        </w:rPr>
        <w:t xml:space="preserve">u pozicioniranju HRM-a treba dati tek kad se stekne uvid u sadržaj novih pravilnika. </w:t>
      </w:r>
    </w:p>
    <w:p w:rsidR="00976929" w:rsidRPr="007D3DD7" w:rsidRDefault="00976929" w:rsidP="002E4893">
      <w:pPr>
        <w:jc w:val="both"/>
        <w:rPr>
          <w:rFonts w:asciiTheme="majorHAnsi" w:hAnsiTheme="majorHAnsi"/>
          <w:sz w:val="22"/>
          <w:szCs w:val="22"/>
          <w:lang w:val="bs-Latn-BA"/>
        </w:rPr>
      </w:pPr>
    </w:p>
    <w:p w:rsidR="00976929" w:rsidRPr="007D3DD7" w:rsidRDefault="00976929" w:rsidP="002E4893">
      <w:pPr>
        <w:jc w:val="both"/>
        <w:rPr>
          <w:rFonts w:asciiTheme="majorHAnsi" w:hAnsiTheme="majorHAnsi"/>
          <w:sz w:val="22"/>
          <w:szCs w:val="22"/>
          <w:lang w:val="bs-Latn-BA"/>
        </w:rPr>
      </w:pPr>
      <w:r w:rsidRPr="007D3DD7">
        <w:rPr>
          <w:rFonts w:asciiTheme="majorHAnsi" w:hAnsiTheme="majorHAnsi"/>
          <w:sz w:val="22"/>
          <w:szCs w:val="22"/>
          <w:lang w:val="bs-Latn-BA"/>
        </w:rPr>
        <w:lastRenderedPageBreak/>
        <w:t xml:space="preserve">Kad su u pitanju uloženi resursi (finansijski, materijalni, ljudski), anketirane institucije ističu </w:t>
      </w:r>
      <w:r w:rsidR="00E80C17" w:rsidRPr="007D3DD7">
        <w:rPr>
          <w:rFonts w:asciiTheme="majorHAnsi" w:hAnsiTheme="majorHAnsi"/>
          <w:sz w:val="22"/>
          <w:szCs w:val="22"/>
          <w:lang w:val="bs-Latn-BA"/>
        </w:rPr>
        <w:t>delegiranje</w:t>
      </w:r>
      <w:r w:rsidRPr="007D3DD7">
        <w:rPr>
          <w:rFonts w:asciiTheme="majorHAnsi" w:hAnsiTheme="majorHAnsi"/>
          <w:sz w:val="22"/>
          <w:szCs w:val="22"/>
          <w:lang w:val="bs-Latn-BA"/>
        </w:rPr>
        <w:t xml:space="preserve"> pojedinaca </w:t>
      </w:r>
      <w:r w:rsidR="00E80C17" w:rsidRPr="007D3DD7">
        <w:rPr>
          <w:rFonts w:asciiTheme="majorHAnsi" w:hAnsiTheme="majorHAnsi"/>
          <w:sz w:val="22"/>
          <w:szCs w:val="22"/>
          <w:lang w:val="bs-Latn-BA"/>
        </w:rPr>
        <w:t>u rad</w:t>
      </w:r>
      <w:r w:rsidRPr="007D3DD7">
        <w:rPr>
          <w:rFonts w:asciiTheme="majorHAnsi" w:hAnsiTheme="majorHAnsi"/>
          <w:sz w:val="22"/>
          <w:szCs w:val="22"/>
          <w:lang w:val="bs-Latn-BA"/>
        </w:rPr>
        <w:t xml:space="preserve"> </w:t>
      </w:r>
      <w:r w:rsidR="00E80C17" w:rsidRPr="007D3DD7">
        <w:rPr>
          <w:rFonts w:asciiTheme="majorHAnsi" w:hAnsiTheme="majorHAnsi"/>
          <w:sz w:val="22"/>
          <w:szCs w:val="22"/>
          <w:lang w:val="bs-Latn-BA"/>
        </w:rPr>
        <w:t xml:space="preserve">EU HRM </w:t>
      </w:r>
      <w:r w:rsidRPr="007D3DD7">
        <w:rPr>
          <w:rFonts w:asciiTheme="majorHAnsi" w:hAnsiTheme="majorHAnsi"/>
          <w:sz w:val="22"/>
          <w:szCs w:val="22"/>
          <w:lang w:val="bs-Latn-BA"/>
        </w:rPr>
        <w:t>projekt</w:t>
      </w:r>
      <w:r w:rsidR="00E80C17" w:rsidRPr="007D3DD7">
        <w:rPr>
          <w:rFonts w:asciiTheme="majorHAnsi" w:hAnsiTheme="majorHAnsi"/>
          <w:sz w:val="22"/>
          <w:szCs w:val="22"/>
          <w:lang w:val="bs-Latn-BA"/>
        </w:rPr>
        <w:t>a</w:t>
      </w:r>
      <w:r w:rsidRPr="007D3DD7">
        <w:rPr>
          <w:rFonts w:asciiTheme="majorHAnsi" w:hAnsiTheme="majorHAnsi"/>
          <w:sz w:val="22"/>
          <w:szCs w:val="22"/>
          <w:lang w:val="bs-Latn-BA"/>
        </w:rPr>
        <w:t xml:space="preserve"> </w:t>
      </w:r>
      <w:r w:rsidR="00E80C17" w:rsidRPr="007D3DD7">
        <w:rPr>
          <w:rFonts w:asciiTheme="majorHAnsi" w:hAnsiTheme="majorHAnsi"/>
          <w:sz w:val="22"/>
          <w:szCs w:val="22"/>
          <w:lang w:val="bs-Latn-BA"/>
        </w:rPr>
        <w:t>(</w:t>
      </w:r>
      <w:r w:rsidRPr="007D3DD7">
        <w:rPr>
          <w:rFonts w:asciiTheme="majorHAnsi" w:hAnsiTheme="majorHAnsi"/>
          <w:sz w:val="22"/>
          <w:szCs w:val="22"/>
          <w:lang w:val="bs-Latn-BA"/>
        </w:rPr>
        <w:t xml:space="preserve">koji je za cilj imao poboljšanje prakse </w:t>
      </w:r>
      <w:r w:rsidR="00A413F4" w:rsidRPr="007D3DD7">
        <w:rPr>
          <w:rFonts w:asciiTheme="majorHAnsi" w:hAnsiTheme="majorHAnsi"/>
          <w:sz w:val="22"/>
          <w:szCs w:val="22"/>
          <w:lang w:val="bs-Latn-BA"/>
        </w:rPr>
        <w:t>HRM</w:t>
      </w:r>
      <w:r w:rsidRPr="007D3DD7">
        <w:rPr>
          <w:rFonts w:asciiTheme="majorHAnsi" w:hAnsiTheme="majorHAnsi"/>
          <w:sz w:val="22"/>
          <w:szCs w:val="22"/>
          <w:lang w:val="bs-Latn-BA"/>
        </w:rPr>
        <w:t xml:space="preserve"> i pozicioniranja </w:t>
      </w:r>
      <w:r w:rsidR="00A413F4" w:rsidRPr="007D3DD7">
        <w:rPr>
          <w:rFonts w:asciiTheme="majorHAnsi" w:hAnsiTheme="majorHAnsi"/>
          <w:sz w:val="22"/>
          <w:szCs w:val="22"/>
          <w:lang w:val="bs-Latn-BA"/>
        </w:rPr>
        <w:t>HRM</w:t>
      </w:r>
      <w:r w:rsidRPr="007D3DD7">
        <w:rPr>
          <w:rFonts w:asciiTheme="majorHAnsi" w:hAnsiTheme="majorHAnsi"/>
          <w:sz w:val="22"/>
          <w:szCs w:val="22"/>
          <w:lang w:val="bs-Latn-BA"/>
        </w:rPr>
        <w:t>-a u državnoj službi</w:t>
      </w:r>
      <w:r w:rsidR="00E80C17" w:rsidRPr="007D3DD7">
        <w:rPr>
          <w:rFonts w:asciiTheme="majorHAnsi" w:hAnsiTheme="majorHAnsi"/>
          <w:sz w:val="22"/>
          <w:szCs w:val="22"/>
          <w:lang w:val="bs-Latn-BA"/>
        </w:rPr>
        <w:t>)</w:t>
      </w:r>
      <w:r w:rsidRPr="007D3DD7">
        <w:rPr>
          <w:rFonts w:asciiTheme="majorHAnsi" w:hAnsiTheme="majorHAnsi"/>
          <w:sz w:val="22"/>
          <w:szCs w:val="22"/>
          <w:lang w:val="bs-Latn-BA"/>
        </w:rPr>
        <w:t xml:space="preserve"> </w:t>
      </w:r>
      <w:r w:rsidR="00E80C17" w:rsidRPr="007D3DD7">
        <w:rPr>
          <w:rFonts w:asciiTheme="majorHAnsi" w:hAnsiTheme="majorHAnsi"/>
          <w:sz w:val="22"/>
          <w:szCs w:val="22"/>
          <w:lang w:val="bs-Latn-BA"/>
        </w:rPr>
        <w:t xml:space="preserve">i upućivanje ljudi na relevantne obuke </w:t>
      </w:r>
      <w:r w:rsidRPr="007D3DD7">
        <w:rPr>
          <w:rFonts w:asciiTheme="majorHAnsi" w:hAnsiTheme="majorHAnsi"/>
          <w:sz w:val="22"/>
          <w:szCs w:val="22"/>
          <w:lang w:val="bs-Latn-BA"/>
        </w:rPr>
        <w:t xml:space="preserve">u organizaciji ADS-a. Ni jedna institucija koja je bila predmet ovog istraživanja nije pružila podatke </w:t>
      </w:r>
      <w:r w:rsidR="00E80C17" w:rsidRPr="007D3DD7">
        <w:rPr>
          <w:rFonts w:asciiTheme="majorHAnsi" w:hAnsiTheme="majorHAnsi"/>
          <w:sz w:val="22"/>
          <w:szCs w:val="22"/>
          <w:lang w:val="bs-Latn-BA"/>
        </w:rPr>
        <w:t>o eventualnim finansijskim</w:t>
      </w:r>
      <w:r w:rsidRPr="007D3DD7">
        <w:rPr>
          <w:rFonts w:asciiTheme="majorHAnsi" w:hAnsiTheme="majorHAnsi"/>
          <w:sz w:val="22"/>
          <w:szCs w:val="22"/>
          <w:lang w:val="bs-Latn-BA"/>
        </w:rPr>
        <w:t xml:space="preserve"> sredst</w:t>
      </w:r>
      <w:r w:rsidR="00E80C17" w:rsidRPr="007D3DD7">
        <w:rPr>
          <w:rFonts w:asciiTheme="majorHAnsi" w:hAnsiTheme="majorHAnsi"/>
          <w:sz w:val="22"/>
          <w:szCs w:val="22"/>
          <w:lang w:val="bs-Latn-BA"/>
        </w:rPr>
        <w:t>vima uloženim</w:t>
      </w:r>
      <w:r w:rsidRPr="007D3DD7">
        <w:rPr>
          <w:rFonts w:asciiTheme="majorHAnsi" w:hAnsiTheme="majorHAnsi"/>
          <w:sz w:val="22"/>
          <w:szCs w:val="22"/>
          <w:lang w:val="bs-Latn-BA"/>
        </w:rPr>
        <w:t xml:space="preserve"> u oblasti HRM</w:t>
      </w:r>
      <w:r w:rsidR="00E80C17" w:rsidRPr="007D3DD7">
        <w:rPr>
          <w:rFonts w:asciiTheme="majorHAnsi" w:hAnsiTheme="majorHAnsi"/>
          <w:sz w:val="22"/>
          <w:szCs w:val="22"/>
          <w:lang w:val="bs-Latn-BA"/>
        </w:rPr>
        <w:t>-a</w:t>
      </w:r>
      <w:r w:rsidRPr="007D3DD7">
        <w:rPr>
          <w:rFonts w:asciiTheme="majorHAnsi" w:hAnsiTheme="majorHAnsi"/>
          <w:sz w:val="22"/>
          <w:szCs w:val="22"/>
          <w:lang w:val="bs-Latn-BA"/>
        </w:rPr>
        <w:t>. Ovaj podatak je jasan pokazatelj da se HRM još uvijek ne smatra strateškom funkcijom unutar institucija/organa državne službe</w:t>
      </w:r>
      <w:r w:rsidR="00E80C17" w:rsidRPr="007D3DD7">
        <w:rPr>
          <w:rFonts w:asciiTheme="majorHAnsi" w:hAnsiTheme="majorHAnsi"/>
          <w:sz w:val="22"/>
          <w:szCs w:val="22"/>
          <w:lang w:val="bs-Latn-BA"/>
        </w:rPr>
        <w:t>,</w:t>
      </w:r>
      <w:r w:rsidRPr="007D3DD7">
        <w:rPr>
          <w:rFonts w:asciiTheme="majorHAnsi" w:hAnsiTheme="majorHAnsi"/>
          <w:sz w:val="22"/>
          <w:szCs w:val="22"/>
          <w:lang w:val="bs-Latn-BA"/>
        </w:rPr>
        <w:t xml:space="preserve"> te da je većina aktivnosti po tom pitanju rezultat vanjske pomoći</w:t>
      </w:r>
      <w:r w:rsidR="00E80C17" w:rsidRPr="007D3DD7">
        <w:rPr>
          <w:rFonts w:asciiTheme="majorHAnsi" w:hAnsiTheme="majorHAnsi"/>
          <w:sz w:val="22"/>
          <w:szCs w:val="22"/>
          <w:lang w:val="bs-Latn-BA"/>
        </w:rPr>
        <w:t xml:space="preserve">. </w:t>
      </w:r>
    </w:p>
    <w:p w:rsidR="00976929" w:rsidRPr="007D3DD7" w:rsidRDefault="00976929" w:rsidP="00976929">
      <w:pPr>
        <w:spacing w:before="60" w:after="60"/>
        <w:jc w:val="both"/>
        <w:rPr>
          <w:rFonts w:asciiTheme="majorHAnsi" w:hAnsiTheme="majorHAnsi"/>
          <w:sz w:val="22"/>
          <w:szCs w:val="22"/>
          <w:lang w:val="bs-Latn-BA"/>
        </w:rPr>
      </w:pPr>
    </w:p>
    <w:p w:rsidR="00976929" w:rsidRPr="0041049B" w:rsidRDefault="00976929" w:rsidP="0041049B">
      <w:pPr>
        <w:pStyle w:val="NoSpacing"/>
        <w:spacing w:before="240"/>
        <w:ind w:right="-6"/>
        <w:rPr>
          <w:b/>
          <w:lang w:val="bs-Latn-BA"/>
        </w:rPr>
      </w:pPr>
      <w:r w:rsidRPr="0041049B">
        <w:rPr>
          <w:b/>
          <w:lang w:val="bs-Latn-BA"/>
        </w:rPr>
        <w:t>Planiranje ljudskih potencijala</w:t>
      </w:r>
    </w:p>
    <w:p w:rsidR="00E80C17" w:rsidRPr="007D3DD7" w:rsidRDefault="00E80C17" w:rsidP="00E80C17">
      <w:pPr>
        <w:rPr>
          <w:rFonts w:asciiTheme="majorHAnsi" w:hAnsiTheme="majorHAnsi"/>
          <w:sz w:val="22"/>
          <w:szCs w:val="22"/>
          <w:lang w:val="bs-Latn-BA"/>
        </w:rPr>
      </w:pPr>
    </w:p>
    <w:p w:rsidR="00976929" w:rsidRPr="007D3DD7" w:rsidRDefault="00976929" w:rsidP="00F538F5">
      <w:pPr>
        <w:jc w:val="both"/>
        <w:rPr>
          <w:rFonts w:asciiTheme="majorHAnsi" w:hAnsiTheme="majorHAnsi"/>
          <w:noProof/>
          <w:sz w:val="22"/>
          <w:szCs w:val="22"/>
          <w:lang w:val="bs-Latn-BA"/>
        </w:rPr>
      </w:pPr>
      <w:r w:rsidRPr="007D3DD7">
        <w:rPr>
          <w:rFonts w:asciiTheme="majorHAnsi" w:hAnsiTheme="majorHAnsi"/>
          <w:noProof/>
          <w:sz w:val="22"/>
          <w:szCs w:val="22"/>
          <w:lang w:val="bs-Latn-BA"/>
        </w:rPr>
        <w:t xml:space="preserve">Praksa planiranja ljudskih potencijala predstavlja kontinuirani proces koji ima za cilj da osigura efikasno korištenje najvažnijeg resursa svake organizacije – ljudi. </w:t>
      </w:r>
    </w:p>
    <w:p w:rsidR="00F538F5" w:rsidRPr="007D3DD7" w:rsidRDefault="00F538F5" w:rsidP="00F538F5">
      <w:pPr>
        <w:jc w:val="both"/>
        <w:rPr>
          <w:rFonts w:asciiTheme="majorHAnsi" w:hAnsiTheme="majorHAnsi"/>
          <w:noProof/>
          <w:sz w:val="22"/>
          <w:szCs w:val="22"/>
          <w:lang w:val="bs-Latn-BA"/>
        </w:rPr>
      </w:pPr>
    </w:p>
    <w:p w:rsidR="00976929" w:rsidRPr="007D3DD7" w:rsidRDefault="00976929" w:rsidP="00F538F5">
      <w:pPr>
        <w:jc w:val="both"/>
        <w:rPr>
          <w:rFonts w:asciiTheme="majorHAnsi" w:hAnsiTheme="majorHAnsi"/>
          <w:noProof/>
          <w:sz w:val="22"/>
          <w:szCs w:val="22"/>
          <w:lang w:val="bs-Latn-BA"/>
        </w:rPr>
      </w:pPr>
      <w:r w:rsidRPr="007D3DD7">
        <w:rPr>
          <w:rFonts w:asciiTheme="majorHAnsi" w:hAnsiTheme="majorHAnsi"/>
          <w:noProof/>
          <w:sz w:val="22"/>
          <w:szCs w:val="22"/>
          <w:lang w:val="bs-Latn-BA"/>
        </w:rPr>
        <w:t xml:space="preserve">Sistem planiranja kadrova u BiH zasnovan </w:t>
      </w:r>
      <w:r w:rsidR="00E80C17" w:rsidRPr="007D3DD7">
        <w:rPr>
          <w:rFonts w:asciiTheme="majorHAnsi" w:hAnsiTheme="majorHAnsi"/>
          <w:noProof/>
          <w:sz w:val="22"/>
          <w:szCs w:val="22"/>
          <w:lang w:val="bs-Latn-BA"/>
        </w:rPr>
        <w:t>je na nastojanju da se održi postojeći broj zaposlenih. U praksi, to znači da broj onih koji odlaze b</w:t>
      </w:r>
      <w:r w:rsidR="00F538F5" w:rsidRPr="007D3DD7">
        <w:rPr>
          <w:rFonts w:asciiTheme="majorHAnsi" w:hAnsiTheme="majorHAnsi"/>
          <w:noProof/>
          <w:sz w:val="22"/>
          <w:szCs w:val="22"/>
          <w:lang w:val="bs-Latn-BA"/>
        </w:rPr>
        <w:t xml:space="preserve">iva </w:t>
      </w:r>
      <w:r w:rsidRPr="007D3DD7">
        <w:rPr>
          <w:rFonts w:asciiTheme="majorHAnsi" w:hAnsiTheme="majorHAnsi"/>
          <w:noProof/>
          <w:sz w:val="22"/>
          <w:szCs w:val="22"/>
          <w:lang w:val="bs-Latn-BA"/>
        </w:rPr>
        <w:t>zamjen</w:t>
      </w:r>
      <w:r w:rsidR="00E80C17" w:rsidRPr="007D3DD7">
        <w:rPr>
          <w:rFonts w:asciiTheme="majorHAnsi" w:hAnsiTheme="majorHAnsi"/>
          <w:noProof/>
          <w:sz w:val="22"/>
          <w:szCs w:val="22"/>
          <w:lang w:val="bs-Latn-BA"/>
        </w:rPr>
        <w:t xml:space="preserve">jen istim brojem onih koji se primaju u službu. </w:t>
      </w:r>
      <w:r w:rsidR="00F538F5" w:rsidRPr="007D3DD7">
        <w:rPr>
          <w:rFonts w:asciiTheme="majorHAnsi" w:hAnsiTheme="majorHAnsi"/>
          <w:noProof/>
          <w:sz w:val="22"/>
          <w:szCs w:val="22"/>
          <w:lang w:val="bs-Latn-BA"/>
        </w:rPr>
        <w:t xml:space="preserve">Na taj način </w:t>
      </w:r>
      <w:r w:rsidRPr="007D3DD7">
        <w:rPr>
          <w:rFonts w:asciiTheme="majorHAnsi" w:hAnsiTheme="majorHAnsi"/>
          <w:noProof/>
          <w:sz w:val="22"/>
          <w:szCs w:val="22"/>
          <w:lang w:val="bs-Latn-BA"/>
        </w:rPr>
        <w:t xml:space="preserve">praksa planiranja ljudskih potencijala svodi se </w:t>
      </w:r>
      <w:r w:rsidR="00F538F5" w:rsidRPr="007D3DD7">
        <w:rPr>
          <w:rFonts w:asciiTheme="majorHAnsi" w:hAnsiTheme="majorHAnsi"/>
          <w:noProof/>
          <w:sz w:val="22"/>
          <w:szCs w:val="22"/>
          <w:lang w:val="bs-Latn-BA"/>
        </w:rPr>
        <w:t xml:space="preserve">isključivo </w:t>
      </w:r>
      <w:r w:rsidRPr="007D3DD7">
        <w:rPr>
          <w:rFonts w:asciiTheme="majorHAnsi" w:hAnsiTheme="majorHAnsi"/>
          <w:noProof/>
          <w:sz w:val="22"/>
          <w:szCs w:val="22"/>
          <w:lang w:val="bs-Latn-BA"/>
        </w:rPr>
        <w:t>na kvantitativni aspekt</w:t>
      </w:r>
      <w:r w:rsidR="00137E51" w:rsidRPr="007D3DD7">
        <w:rPr>
          <w:rFonts w:asciiTheme="majorHAnsi" w:hAnsiTheme="majorHAnsi"/>
          <w:noProof/>
          <w:sz w:val="22"/>
          <w:szCs w:val="22"/>
          <w:lang w:val="bs-Latn-BA"/>
        </w:rPr>
        <w:t xml:space="preserve"> čime je u potpunosti zanemareno </w:t>
      </w:r>
      <w:r w:rsidR="00F538F5" w:rsidRPr="007D3DD7">
        <w:rPr>
          <w:rFonts w:asciiTheme="majorHAnsi" w:hAnsiTheme="majorHAnsi"/>
          <w:noProof/>
          <w:sz w:val="22"/>
          <w:szCs w:val="22"/>
          <w:lang w:val="bs-Latn-BA"/>
        </w:rPr>
        <w:t>kakav profil ljudi je potreban (odnosno prioritetan)</w:t>
      </w:r>
      <w:r w:rsidRPr="007D3DD7">
        <w:rPr>
          <w:rFonts w:asciiTheme="majorHAnsi" w:hAnsiTheme="majorHAnsi"/>
          <w:noProof/>
          <w:sz w:val="22"/>
          <w:szCs w:val="22"/>
          <w:lang w:val="bs-Latn-BA"/>
        </w:rPr>
        <w:t xml:space="preserve"> </w:t>
      </w:r>
      <w:r w:rsidR="00F538F5" w:rsidRPr="007D3DD7">
        <w:rPr>
          <w:rFonts w:asciiTheme="majorHAnsi" w:hAnsiTheme="majorHAnsi"/>
          <w:noProof/>
          <w:sz w:val="22"/>
          <w:szCs w:val="22"/>
          <w:lang w:val="bs-Latn-BA"/>
        </w:rPr>
        <w:t xml:space="preserve">gledano s aspekta </w:t>
      </w:r>
      <w:r w:rsidRPr="007D3DD7">
        <w:rPr>
          <w:rFonts w:asciiTheme="majorHAnsi" w:hAnsiTheme="majorHAnsi"/>
          <w:noProof/>
          <w:sz w:val="22"/>
          <w:szCs w:val="22"/>
          <w:lang w:val="bs-Latn-BA"/>
        </w:rPr>
        <w:t>budućih potreba institucije</w:t>
      </w:r>
      <w:r w:rsidR="00F538F5" w:rsidRPr="007D3DD7">
        <w:rPr>
          <w:rFonts w:asciiTheme="majorHAnsi" w:hAnsiTheme="majorHAnsi"/>
          <w:noProof/>
          <w:sz w:val="22"/>
          <w:szCs w:val="22"/>
          <w:lang w:val="bs-Latn-BA"/>
        </w:rPr>
        <w:t xml:space="preserve">. </w:t>
      </w:r>
    </w:p>
    <w:p w:rsidR="00976929" w:rsidRPr="007D3DD7" w:rsidRDefault="00976929" w:rsidP="00F538F5">
      <w:pPr>
        <w:jc w:val="both"/>
        <w:rPr>
          <w:rFonts w:asciiTheme="majorHAnsi" w:hAnsiTheme="majorHAnsi"/>
          <w:sz w:val="22"/>
          <w:szCs w:val="22"/>
          <w:highlight w:val="yellow"/>
          <w:lang w:val="bs-Latn-BA"/>
        </w:rPr>
      </w:pPr>
    </w:p>
    <w:p w:rsidR="00137E51" w:rsidRPr="007D3DD7" w:rsidRDefault="00137E51" w:rsidP="00137E51">
      <w:pPr>
        <w:jc w:val="both"/>
        <w:rPr>
          <w:rFonts w:asciiTheme="majorHAnsi" w:eastAsia="Cambria" w:hAnsiTheme="majorHAnsi"/>
          <w:sz w:val="22"/>
          <w:szCs w:val="22"/>
          <w:lang w:val="bs-Latn-BA"/>
        </w:rPr>
      </w:pPr>
      <w:r w:rsidRPr="007D3DD7">
        <w:rPr>
          <w:rFonts w:asciiTheme="majorHAnsi" w:eastAsia="Cambria" w:hAnsiTheme="majorHAnsi"/>
          <w:sz w:val="22"/>
          <w:szCs w:val="22"/>
          <w:lang w:val="bs-Latn-BA"/>
        </w:rPr>
        <w:t xml:space="preserve">Što se tiče konkretnih aktivnosti u 2015. godini, </w:t>
      </w:r>
      <w:r w:rsidR="00735A09" w:rsidRPr="007D3DD7">
        <w:rPr>
          <w:rFonts w:asciiTheme="majorHAnsi" w:eastAsia="Cambria" w:hAnsiTheme="majorHAnsi"/>
          <w:sz w:val="22"/>
          <w:szCs w:val="22"/>
          <w:lang w:val="bs-Latn-BA"/>
        </w:rPr>
        <w:t xml:space="preserve">praksa planiranja ljudskih potencijala u upravnim strukturama u BiH nije doživjela neke značajnije promjene. </w:t>
      </w:r>
      <w:r w:rsidR="00F32B51" w:rsidRPr="007D3DD7">
        <w:rPr>
          <w:rFonts w:asciiTheme="majorHAnsi" w:eastAsia="Cambria" w:hAnsiTheme="majorHAnsi"/>
          <w:sz w:val="22"/>
          <w:szCs w:val="22"/>
          <w:lang w:val="bs-Latn-BA"/>
        </w:rPr>
        <w:t>Praksa kadr</w:t>
      </w:r>
      <w:r w:rsidR="00230AF2" w:rsidRPr="007D3DD7">
        <w:rPr>
          <w:rFonts w:asciiTheme="majorHAnsi" w:eastAsia="Cambria" w:hAnsiTheme="majorHAnsi"/>
          <w:sz w:val="22"/>
          <w:szCs w:val="22"/>
          <w:lang w:val="bs-Latn-BA"/>
        </w:rPr>
        <w:t>ovskog planiranja u RS-u</w:t>
      </w:r>
      <w:r w:rsidR="00611312" w:rsidRPr="007D3DD7">
        <w:rPr>
          <w:rFonts w:asciiTheme="majorHAnsi" w:eastAsia="Cambria" w:hAnsiTheme="majorHAnsi"/>
          <w:sz w:val="22"/>
          <w:szCs w:val="22"/>
          <w:lang w:val="bs-Latn-BA"/>
        </w:rPr>
        <w:t xml:space="preserve">, uz sve nedostatke, i dalje </w:t>
      </w:r>
      <w:r w:rsidR="00230AF2" w:rsidRPr="007D3DD7">
        <w:rPr>
          <w:rFonts w:asciiTheme="majorHAnsi" w:eastAsia="Cambria" w:hAnsiTheme="majorHAnsi"/>
          <w:sz w:val="22"/>
          <w:szCs w:val="22"/>
          <w:lang w:val="bs-Latn-BA"/>
        </w:rPr>
        <w:t xml:space="preserve">ostaje </w:t>
      </w:r>
      <w:r w:rsidR="00611312" w:rsidRPr="007D3DD7">
        <w:rPr>
          <w:rFonts w:asciiTheme="majorHAnsi" w:eastAsia="Cambria" w:hAnsiTheme="majorHAnsi"/>
          <w:sz w:val="22"/>
          <w:szCs w:val="22"/>
          <w:lang w:val="bs-Latn-BA"/>
        </w:rPr>
        <w:t xml:space="preserve">najbliža modernom konceptu HRM planiranja. </w:t>
      </w:r>
      <w:r w:rsidR="00735A09" w:rsidRPr="007D3DD7">
        <w:rPr>
          <w:rFonts w:asciiTheme="majorHAnsi" w:eastAsia="Cambria" w:hAnsiTheme="majorHAnsi"/>
          <w:sz w:val="22"/>
          <w:szCs w:val="22"/>
          <w:lang w:val="bs-Latn-BA"/>
        </w:rPr>
        <w:t xml:space="preserve">Na državnom nivou tek 3 od 11 institucija su imale neke aktivnosti vezano za planiranje ljudskih potencijala i to uglavnom kroz učešće na obukama organizovanim u sklopu projekata tehničke pomoći (u prvom redu </w:t>
      </w:r>
      <w:r w:rsidR="008A1AB6" w:rsidRPr="007D3DD7">
        <w:rPr>
          <w:rFonts w:asciiTheme="majorHAnsi" w:eastAsia="Cambria" w:hAnsiTheme="majorHAnsi"/>
          <w:sz w:val="22"/>
          <w:szCs w:val="22"/>
          <w:lang w:val="bs-Latn-BA"/>
        </w:rPr>
        <w:t>Njemačkog društva za međunarodnu saradnju - GIZ</w:t>
      </w:r>
      <w:r w:rsidR="00735A09" w:rsidRPr="007D3DD7">
        <w:rPr>
          <w:rFonts w:asciiTheme="majorHAnsi" w:eastAsia="Cambria" w:hAnsiTheme="majorHAnsi"/>
          <w:sz w:val="22"/>
          <w:szCs w:val="22"/>
          <w:lang w:val="bs-Latn-BA"/>
        </w:rPr>
        <w:t xml:space="preserve"> i projekta EU-HRM). </w:t>
      </w:r>
      <w:r w:rsidR="005E5C1D" w:rsidRPr="007D3DD7">
        <w:rPr>
          <w:rFonts w:asciiTheme="majorHAnsi" w:eastAsia="Cambria" w:hAnsiTheme="majorHAnsi"/>
          <w:sz w:val="22"/>
          <w:szCs w:val="22"/>
          <w:lang w:val="bs-Latn-BA"/>
        </w:rPr>
        <w:t xml:space="preserve">Jedino je Ministarstvo odbrane BiH kroz bilateralnu saradnju sa Norveškim ministarstvom odbrane uspjelo da donese dokument </w:t>
      </w:r>
      <w:r w:rsidR="005E5C1D" w:rsidRPr="007D3DD7">
        <w:rPr>
          <w:rFonts w:asciiTheme="majorHAnsi" w:eastAsia="Cambria" w:hAnsiTheme="majorHAnsi"/>
          <w:i/>
          <w:sz w:val="22"/>
          <w:szCs w:val="22"/>
          <w:lang w:val="bs-Latn-BA"/>
        </w:rPr>
        <w:t>Politika razvoja funkcije HR planiranja u MO BiH</w:t>
      </w:r>
      <w:r w:rsidR="005E5C1D" w:rsidRPr="007D3DD7">
        <w:rPr>
          <w:rFonts w:asciiTheme="majorHAnsi" w:eastAsia="Cambria" w:hAnsiTheme="majorHAnsi"/>
          <w:sz w:val="22"/>
          <w:szCs w:val="22"/>
          <w:lang w:val="bs-Latn-BA"/>
        </w:rPr>
        <w:t>, što se može smatrati prvim konkretnim korakom u procesu uvođenja modernog HR planiranja. Sličan pomak je zabilježen i u slučaju Brčko distrikta</w:t>
      </w:r>
      <w:r w:rsidR="00F32B51" w:rsidRPr="007D3DD7">
        <w:rPr>
          <w:rFonts w:asciiTheme="majorHAnsi" w:eastAsia="Cambria" w:hAnsiTheme="majorHAnsi"/>
          <w:sz w:val="22"/>
          <w:szCs w:val="22"/>
          <w:lang w:val="bs-Latn-BA"/>
        </w:rPr>
        <w:t xml:space="preserve">. Naime, </w:t>
      </w:r>
      <w:r w:rsidRPr="007D3DD7">
        <w:rPr>
          <w:rFonts w:asciiTheme="majorHAnsi" w:eastAsia="Cambria" w:hAnsiTheme="majorHAnsi"/>
          <w:sz w:val="22"/>
          <w:szCs w:val="22"/>
          <w:lang w:val="bs-Latn-BA"/>
        </w:rPr>
        <w:t>Vlada Brčko d</w:t>
      </w:r>
      <w:r w:rsidR="00F32B51" w:rsidRPr="007D3DD7">
        <w:rPr>
          <w:rFonts w:asciiTheme="majorHAnsi" w:eastAsia="Cambria" w:hAnsiTheme="majorHAnsi"/>
          <w:sz w:val="22"/>
          <w:szCs w:val="22"/>
          <w:lang w:val="bs-Latn-BA"/>
        </w:rPr>
        <w:t xml:space="preserve">istrikta je </w:t>
      </w:r>
      <w:r w:rsidRPr="007D3DD7">
        <w:rPr>
          <w:rFonts w:asciiTheme="majorHAnsi" w:eastAsia="Cambria" w:hAnsiTheme="majorHAnsi"/>
          <w:sz w:val="22"/>
          <w:szCs w:val="22"/>
          <w:lang w:val="bs-Latn-BA"/>
        </w:rPr>
        <w:t xml:space="preserve">u mjesecu januaru usvojila dokument </w:t>
      </w:r>
      <w:r w:rsidRPr="007D3DD7">
        <w:rPr>
          <w:rFonts w:asciiTheme="majorHAnsi" w:eastAsia="Cambria" w:hAnsiTheme="majorHAnsi"/>
          <w:i/>
          <w:sz w:val="22"/>
          <w:szCs w:val="22"/>
          <w:lang w:val="bs-Latn-BA"/>
        </w:rPr>
        <w:t>Opšta načela kadrovske politike</w:t>
      </w:r>
      <w:r w:rsidRPr="007D3DD7">
        <w:rPr>
          <w:rFonts w:asciiTheme="majorHAnsi" w:eastAsia="Cambria" w:hAnsiTheme="majorHAnsi"/>
          <w:sz w:val="22"/>
          <w:szCs w:val="22"/>
          <w:lang w:val="bs-Latn-BA"/>
        </w:rPr>
        <w:t xml:space="preserve"> koji propisu</w:t>
      </w:r>
      <w:r w:rsidR="00735A09" w:rsidRPr="007D3DD7">
        <w:rPr>
          <w:rFonts w:asciiTheme="majorHAnsi" w:eastAsia="Cambria" w:hAnsiTheme="majorHAnsi"/>
          <w:sz w:val="22"/>
          <w:szCs w:val="22"/>
          <w:lang w:val="bs-Latn-BA"/>
        </w:rPr>
        <w:t xml:space="preserve">je ciljeve u sprovođenju osnovnih </w:t>
      </w:r>
      <w:r w:rsidRPr="007D3DD7">
        <w:rPr>
          <w:rFonts w:asciiTheme="majorHAnsi" w:eastAsia="Cambria" w:hAnsiTheme="majorHAnsi"/>
          <w:sz w:val="22"/>
          <w:szCs w:val="22"/>
          <w:lang w:val="bs-Latn-BA"/>
        </w:rPr>
        <w:t xml:space="preserve">načela u ovoj oblasti. Pored navedenog, Vlada Brčko distrikta je u mjesecu junu donijela </w:t>
      </w:r>
      <w:r w:rsidR="00735A09" w:rsidRPr="007D3DD7">
        <w:rPr>
          <w:rFonts w:asciiTheme="majorHAnsi" w:eastAsia="Cambria" w:hAnsiTheme="majorHAnsi"/>
          <w:sz w:val="22"/>
          <w:szCs w:val="22"/>
          <w:lang w:val="bs-Latn-BA"/>
        </w:rPr>
        <w:t xml:space="preserve">i </w:t>
      </w:r>
      <w:r w:rsidRPr="007D3DD7">
        <w:rPr>
          <w:rFonts w:asciiTheme="majorHAnsi" w:eastAsia="Cambria" w:hAnsiTheme="majorHAnsi"/>
          <w:sz w:val="22"/>
          <w:szCs w:val="22"/>
          <w:lang w:val="bs-Latn-BA"/>
        </w:rPr>
        <w:t xml:space="preserve">zaključak o utvrđivanju </w:t>
      </w:r>
      <w:r w:rsidRPr="007D3DD7">
        <w:rPr>
          <w:rFonts w:asciiTheme="majorHAnsi" w:eastAsia="Cambria" w:hAnsiTheme="majorHAnsi"/>
          <w:i/>
          <w:sz w:val="22"/>
          <w:szCs w:val="22"/>
          <w:lang w:val="bs-Latn-BA"/>
        </w:rPr>
        <w:t>Metodologije izrade organizacijskih planova tijela javne uprave BD BiH</w:t>
      </w:r>
      <w:r w:rsidR="00735A09" w:rsidRPr="007D3DD7">
        <w:rPr>
          <w:rFonts w:asciiTheme="majorHAnsi" w:eastAsia="Cambria" w:hAnsiTheme="majorHAnsi"/>
          <w:i/>
          <w:sz w:val="22"/>
          <w:szCs w:val="22"/>
          <w:lang w:val="bs-Latn-BA"/>
        </w:rPr>
        <w:t xml:space="preserve">. </w:t>
      </w:r>
    </w:p>
    <w:p w:rsidR="00137E51" w:rsidRPr="007D3DD7" w:rsidRDefault="00137E51" w:rsidP="00F538F5">
      <w:pPr>
        <w:jc w:val="both"/>
        <w:rPr>
          <w:rFonts w:asciiTheme="majorHAnsi" w:hAnsiTheme="majorHAnsi"/>
          <w:sz w:val="22"/>
          <w:szCs w:val="22"/>
          <w:lang w:val="bs-Latn-BA"/>
        </w:rPr>
      </w:pPr>
    </w:p>
    <w:p w:rsidR="00976929" w:rsidRPr="007D3DD7" w:rsidRDefault="00F32B51" w:rsidP="00F538F5">
      <w:pPr>
        <w:jc w:val="both"/>
        <w:rPr>
          <w:rFonts w:asciiTheme="majorHAnsi" w:hAnsiTheme="majorHAnsi"/>
          <w:sz w:val="22"/>
          <w:szCs w:val="22"/>
          <w:lang w:val="bs-Latn-BA"/>
        </w:rPr>
      </w:pPr>
      <w:r w:rsidRPr="007D3DD7">
        <w:rPr>
          <w:rFonts w:asciiTheme="majorHAnsi" w:hAnsiTheme="majorHAnsi"/>
          <w:sz w:val="22"/>
          <w:szCs w:val="22"/>
          <w:lang w:val="bs-Latn-BA"/>
        </w:rPr>
        <w:t>P</w:t>
      </w:r>
      <w:r w:rsidR="00976929" w:rsidRPr="007D3DD7">
        <w:rPr>
          <w:rFonts w:asciiTheme="majorHAnsi" w:hAnsiTheme="majorHAnsi"/>
          <w:sz w:val="22"/>
          <w:szCs w:val="22"/>
          <w:lang w:val="bs-Latn-BA"/>
        </w:rPr>
        <w:t>rojek</w:t>
      </w:r>
      <w:r w:rsidRPr="007D3DD7">
        <w:rPr>
          <w:rFonts w:asciiTheme="majorHAnsi" w:hAnsiTheme="majorHAnsi"/>
          <w:sz w:val="22"/>
          <w:szCs w:val="22"/>
          <w:lang w:val="bs-Latn-BA"/>
        </w:rPr>
        <w:t>a</w:t>
      </w:r>
      <w:r w:rsidR="00976929" w:rsidRPr="007D3DD7">
        <w:rPr>
          <w:rFonts w:asciiTheme="majorHAnsi" w:hAnsiTheme="majorHAnsi"/>
          <w:sz w:val="22"/>
          <w:szCs w:val="22"/>
          <w:lang w:val="bs-Latn-BA"/>
        </w:rPr>
        <w:t>t EU</w:t>
      </w:r>
      <w:r w:rsidR="00735A09" w:rsidRPr="007D3DD7">
        <w:rPr>
          <w:rFonts w:asciiTheme="majorHAnsi" w:hAnsiTheme="majorHAnsi"/>
          <w:sz w:val="22"/>
          <w:szCs w:val="22"/>
          <w:lang w:val="bs-Latn-BA"/>
        </w:rPr>
        <w:t>-</w:t>
      </w:r>
      <w:r w:rsidR="00976929" w:rsidRPr="007D3DD7">
        <w:rPr>
          <w:rFonts w:asciiTheme="majorHAnsi" w:hAnsiTheme="majorHAnsi"/>
          <w:sz w:val="22"/>
          <w:szCs w:val="22"/>
          <w:lang w:val="bs-Latn-BA"/>
        </w:rPr>
        <w:t xml:space="preserve">HRM </w:t>
      </w:r>
      <w:r w:rsidRPr="007D3DD7">
        <w:rPr>
          <w:rFonts w:asciiTheme="majorHAnsi" w:hAnsiTheme="majorHAnsi"/>
          <w:sz w:val="22"/>
          <w:szCs w:val="22"/>
          <w:lang w:val="bs-Latn-BA"/>
        </w:rPr>
        <w:t xml:space="preserve">je imao ambiciju da </w:t>
      </w:r>
      <w:r w:rsidR="002333B2" w:rsidRPr="007D3DD7">
        <w:rPr>
          <w:rFonts w:asciiTheme="majorHAnsi" w:hAnsiTheme="majorHAnsi"/>
          <w:sz w:val="22"/>
          <w:szCs w:val="22"/>
          <w:lang w:val="bs-Latn-BA"/>
        </w:rPr>
        <w:t xml:space="preserve">slijedeći iskustva </w:t>
      </w:r>
      <w:r w:rsidRPr="007D3DD7">
        <w:rPr>
          <w:rFonts w:asciiTheme="majorHAnsi" w:hAnsiTheme="majorHAnsi"/>
          <w:sz w:val="22"/>
          <w:szCs w:val="22"/>
          <w:lang w:val="bs-Latn-BA"/>
        </w:rPr>
        <w:t>Slovenije</w:t>
      </w:r>
      <w:r w:rsidR="002333B2" w:rsidRPr="007D3DD7">
        <w:rPr>
          <w:rFonts w:asciiTheme="majorHAnsi" w:hAnsiTheme="majorHAnsi"/>
          <w:sz w:val="22"/>
          <w:szCs w:val="22"/>
          <w:lang w:val="bs-Latn-BA"/>
        </w:rPr>
        <w:t>,</w:t>
      </w:r>
      <w:r w:rsidRPr="007D3DD7">
        <w:rPr>
          <w:rFonts w:asciiTheme="majorHAnsi" w:hAnsiTheme="majorHAnsi"/>
          <w:sz w:val="22"/>
          <w:szCs w:val="22"/>
          <w:lang w:val="bs-Latn-BA"/>
        </w:rPr>
        <w:t xml:space="preserve"> </w:t>
      </w:r>
      <w:r w:rsidR="002333B2" w:rsidRPr="007D3DD7">
        <w:rPr>
          <w:rFonts w:asciiTheme="majorHAnsi" w:hAnsiTheme="majorHAnsi"/>
          <w:sz w:val="22"/>
          <w:szCs w:val="22"/>
          <w:lang w:val="bs-Latn-BA"/>
        </w:rPr>
        <w:t>koja je s uspjehom modernizirala praksu</w:t>
      </w:r>
      <w:r w:rsidRPr="007D3DD7">
        <w:rPr>
          <w:rFonts w:asciiTheme="majorHAnsi" w:hAnsiTheme="majorHAnsi"/>
          <w:sz w:val="22"/>
          <w:szCs w:val="22"/>
          <w:lang w:val="bs-Latn-BA"/>
        </w:rPr>
        <w:t xml:space="preserve"> </w:t>
      </w:r>
      <w:r w:rsidR="00A413F4" w:rsidRPr="007D3DD7">
        <w:rPr>
          <w:rFonts w:asciiTheme="majorHAnsi" w:hAnsiTheme="majorHAnsi"/>
          <w:sz w:val="22"/>
          <w:szCs w:val="22"/>
          <w:lang w:val="bs-Latn-BA"/>
        </w:rPr>
        <w:t>planiranja ljudskih potencijala</w:t>
      </w:r>
      <w:r w:rsidR="002333B2" w:rsidRPr="007D3DD7">
        <w:rPr>
          <w:rFonts w:asciiTheme="majorHAnsi" w:hAnsiTheme="majorHAnsi"/>
          <w:sz w:val="22"/>
          <w:szCs w:val="22"/>
          <w:lang w:val="bs-Latn-BA"/>
        </w:rPr>
        <w:t>, isto učini</w:t>
      </w:r>
      <w:r w:rsidR="00976929" w:rsidRPr="007D3DD7">
        <w:rPr>
          <w:rFonts w:asciiTheme="majorHAnsi" w:hAnsiTheme="majorHAnsi"/>
          <w:sz w:val="22"/>
          <w:szCs w:val="22"/>
          <w:lang w:val="bs-Latn-BA"/>
        </w:rPr>
        <w:t xml:space="preserve"> </w:t>
      </w:r>
      <w:r w:rsidR="002333B2" w:rsidRPr="007D3DD7">
        <w:rPr>
          <w:rFonts w:asciiTheme="majorHAnsi" w:hAnsiTheme="majorHAnsi"/>
          <w:sz w:val="22"/>
          <w:szCs w:val="22"/>
          <w:lang w:val="bs-Latn-BA"/>
        </w:rPr>
        <w:t xml:space="preserve">i u slučaju struktura </w:t>
      </w:r>
      <w:r w:rsidR="00976929" w:rsidRPr="007D3DD7">
        <w:rPr>
          <w:rFonts w:asciiTheme="majorHAnsi" w:hAnsiTheme="majorHAnsi"/>
          <w:sz w:val="22"/>
          <w:szCs w:val="22"/>
          <w:lang w:val="bs-Latn-BA"/>
        </w:rPr>
        <w:t>državne službe</w:t>
      </w:r>
      <w:r w:rsidRPr="007D3DD7">
        <w:rPr>
          <w:rFonts w:asciiTheme="majorHAnsi" w:hAnsiTheme="majorHAnsi"/>
          <w:sz w:val="22"/>
          <w:szCs w:val="22"/>
          <w:lang w:val="bs-Latn-BA"/>
        </w:rPr>
        <w:t xml:space="preserve"> u BiH. Međutim, </w:t>
      </w:r>
      <w:r w:rsidR="00EE3F48" w:rsidRPr="007D3DD7">
        <w:rPr>
          <w:rFonts w:asciiTheme="majorHAnsi" w:hAnsiTheme="majorHAnsi"/>
          <w:sz w:val="22"/>
          <w:szCs w:val="22"/>
          <w:lang w:val="bs-Latn-BA"/>
        </w:rPr>
        <w:t xml:space="preserve">iako su predstavnici </w:t>
      </w:r>
      <w:r w:rsidR="005E5C1D" w:rsidRPr="007D3DD7">
        <w:rPr>
          <w:rFonts w:asciiTheme="majorHAnsi" w:hAnsiTheme="majorHAnsi"/>
          <w:sz w:val="22"/>
          <w:szCs w:val="22"/>
          <w:lang w:val="bs-Latn-BA"/>
        </w:rPr>
        <w:t xml:space="preserve">institucija koje su učestvovale u ovom projektu imali na raspolaganju svu neophodnu stručnu pomoć, ostvareni napredak u ovoj oblasti svodi se na jačanje individualnih kapaciteta onih koji su učestvovali na seminarima i radionicama organiziranim u sklopu ovog projekta. Imajući u vidu </w:t>
      </w:r>
      <w:r w:rsidR="002333B2" w:rsidRPr="007D3DD7">
        <w:rPr>
          <w:rFonts w:asciiTheme="majorHAnsi" w:hAnsiTheme="majorHAnsi"/>
          <w:sz w:val="22"/>
          <w:szCs w:val="22"/>
          <w:lang w:val="bs-Latn-BA"/>
        </w:rPr>
        <w:t>resurse koji su bili na raspolaganju na jednoj strani i ostvarene rezultate na drugoj, nije teško zaključiti da je u ovoj oblasti propuštena velika prilika da se napravi ozbiljniji iskorak u pravcu moderne prakse planiranja ljudskih potencijala.</w:t>
      </w:r>
      <w:r w:rsidR="005E5C1D" w:rsidRPr="007D3DD7">
        <w:rPr>
          <w:rFonts w:asciiTheme="majorHAnsi" w:hAnsiTheme="majorHAnsi"/>
          <w:sz w:val="22"/>
          <w:szCs w:val="22"/>
          <w:lang w:val="bs-Latn-BA"/>
        </w:rPr>
        <w:t xml:space="preserve"> </w:t>
      </w:r>
    </w:p>
    <w:p w:rsidR="005E5C1D" w:rsidRPr="007D3DD7" w:rsidRDefault="005E5C1D" w:rsidP="00F538F5">
      <w:pPr>
        <w:jc w:val="both"/>
        <w:rPr>
          <w:rFonts w:asciiTheme="majorHAnsi" w:hAnsiTheme="majorHAnsi"/>
          <w:sz w:val="22"/>
          <w:szCs w:val="22"/>
          <w:lang w:val="bs-Latn-BA"/>
        </w:rPr>
      </w:pPr>
    </w:p>
    <w:p w:rsidR="00976929" w:rsidRPr="0041049B" w:rsidRDefault="00976929" w:rsidP="0041049B">
      <w:pPr>
        <w:pStyle w:val="NoSpacing"/>
        <w:spacing w:before="240"/>
        <w:ind w:right="-6"/>
        <w:rPr>
          <w:b/>
          <w:lang w:val="bs-Latn-BA"/>
        </w:rPr>
      </w:pPr>
      <w:r w:rsidRPr="0041049B">
        <w:rPr>
          <w:b/>
          <w:lang w:val="bs-Latn-BA"/>
        </w:rPr>
        <w:t xml:space="preserve">Analiza i klasifikacija radnih mjesta </w:t>
      </w:r>
    </w:p>
    <w:p w:rsidR="00B86217" w:rsidRPr="007D3DD7" w:rsidRDefault="00B86217" w:rsidP="00976929">
      <w:pPr>
        <w:spacing w:before="60" w:after="60"/>
        <w:jc w:val="both"/>
        <w:rPr>
          <w:rFonts w:asciiTheme="majorHAnsi" w:eastAsia="Times New Roman" w:hAnsiTheme="majorHAnsi" w:cs="Calibri"/>
          <w:sz w:val="22"/>
          <w:szCs w:val="22"/>
          <w:lang w:val="bs-Latn-BA"/>
        </w:rPr>
      </w:pPr>
    </w:p>
    <w:p w:rsidR="00976929" w:rsidRPr="007D3DD7" w:rsidRDefault="00976929" w:rsidP="00976929">
      <w:pPr>
        <w:spacing w:before="60" w:after="60"/>
        <w:jc w:val="both"/>
        <w:rPr>
          <w:rFonts w:asciiTheme="majorHAnsi" w:eastAsia="Times New Roman" w:hAnsiTheme="majorHAnsi" w:cs="Calibri"/>
          <w:sz w:val="22"/>
          <w:szCs w:val="22"/>
          <w:lang w:val="bs-Latn-BA"/>
        </w:rPr>
      </w:pPr>
      <w:r w:rsidRPr="007D3DD7">
        <w:rPr>
          <w:rFonts w:asciiTheme="majorHAnsi" w:eastAsia="Times New Roman" w:hAnsiTheme="majorHAnsi" w:cs="Calibri"/>
          <w:sz w:val="22"/>
          <w:szCs w:val="22"/>
          <w:lang w:val="bs-Latn-BA"/>
        </w:rPr>
        <w:t>Analiza radnih mjesta predstavlja proces sistematičnog prikupljanja podataka o svakom pojedinačnom radnom m</w:t>
      </w:r>
      <w:r w:rsidR="00B86217" w:rsidRPr="007D3DD7">
        <w:rPr>
          <w:rFonts w:asciiTheme="majorHAnsi" w:eastAsia="Times New Roman" w:hAnsiTheme="majorHAnsi" w:cs="Calibri"/>
          <w:sz w:val="22"/>
          <w:szCs w:val="22"/>
          <w:lang w:val="bs-Latn-BA"/>
        </w:rPr>
        <w:t>jestu u cilju izrade kvalitetn</w:t>
      </w:r>
      <w:r w:rsidRPr="007D3DD7">
        <w:rPr>
          <w:rFonts w:asciiTheme="majorHAnsi" w:eastAsia="Times New Roman" w:hAnsiTheme="majorHAnsi" w:cs="Calibri"/>
          <w:sz w:val="22"/>
          <w:szCs w:val="22"/>
          <w:lang w:val="bs-Latn-BA"/>
        </w:rPr>
        <w:t>ih opisa radnih mjesta (uključujući i stručni profil</w:t>
      </w:r>
      <w:r w:rsidR="00B86217" w:rsidRPr="007D3DD7">
        <w:rPr>
          <w:rFonts w:asciiTheme="majorHAnsi" w:eastAsia="Times New Roman" w:hAnsiTheme="majorHAnsi" w:cs="Calibri"/>
          <w:sz w:val="22"/>
          <w:szCs w:val="22"/>
          <w:lang w:val="bs-Latn-BA"/>
        </w:rPr>
        <w:t xml:space="preserve"> </w:t>
      </w:r>
      <w:r w:rsidRPr="007D3DD7">
        <w:rPr>
          <w:rFonts w:asciiTheme="majorHAnsi" w:eastAsia="Times New Roman" w:hAnsiTheme="majorHAnsi" w:cs="Calibri"/>
          <w:sz w:val="22"/>
          <w:szCs w:val="22"/>
          <w:lang w:val="bs-Latn-BA"/>
        </w:rPr>
        <w:t xml:space="preserve">izvršioca). Kvalitetnom analizom radnih mjesta može se doći i do određenih saznanja o višku/manjku zaposlenih, </w:t>
      </w:r>
      <w:r w:rsidR="00D53624" w:rsidRPr="007D3DD7">
        <w:rPr>
          <w:rFonts w:asciiTheme="majorHAnsi" w:eastAsia="Times New Roman" w:hAnsiTheme="majorHAnsi" w:cs="Calibri"/>
          <w:sz w:val="22"/>
          <w:szCs w:val="22"/>
          <w:lang w:val="bs-Latn-BA"/>
        </w:rPr>
        <w:t xml:space="preserve">zatim o </w:t>
      </w:r>
      <w:r w:rsidRPr="007D3DD7">
        <w:rPr>
          <w:rFonts w:asciiTheme="majorHAnsi" w:eastAsia="Times New Roman" w:hAnsiTheme="majorHAnsi" w:cs="Calibri"/>
          <w:sz w:val="22"/>
          <w:szCs w:val="22"/>
          <w:lang w:val="bs-Latn-BA"/>
        </w:rPr>
        <w:t xml:space="preserve">obimu ili dupliranju poslova, </w:t>
      </w:r>
      <w:r w:rsidR="00D53624" w:rsidRPr="007D3DD7">
        <w:rPr>
          <w:rFonts w:asciiTheme="majorHAnsi" w:eastAsia="Times New Roman" w:hAnsiTheme="majorHAnsi" w:cs="Calibri"/>
          <w:sz w:val="22"/>
          <w:szCs w:val="22"/>
          <w:lang w:val="bs-Latn-BA"/>
        </w:rPr>
        <w:t xml:space="preserve">a može se </w:t>
      </w:r>
      <w:r w:rsidR="00B05C07" w:rsidRPr="007D3DD7">
        <w:rPr>
          <w:rFonts w:asciiTheme="majorHAnsi" w:eastAsia="Times New Roman" w:hAnsiTheme="majorHAnsi" w:cs="Calibri"/>
          <w:sz w:val="22"/>
          <w:szCs w:val="22"/>
          <w:lang w:val="bs-Latn-BA"/>
        </w:rPr>
        <w:t xml:space="preserve">dobiti i uvid u probleme </w:t>
      </w:r>
      <w:r w:rsidRPr="007D3DD7">
        <w:rPr>
          <w:rFonts w:asciiTheme="majorHAnsi" w:eastAsia="Times New Roman" w:hAnsiTheme="majorHAnsi" w:cs="Calibri"/>
          <w:sz w:val="22"/>
          <w:szCs w:val="22"/>
          <w:lang w:val="bs-Latn-BA"/>
        </w:rPr>
        <w:t xml:space="preserve">nedovoljne učinkovitosti. Klasifikacija radnih mjesta je proces koji se prirodno nadovezuje na analizu radnih </w:t>
      </w:r>
      <w:r w:rsidRPr="007D3DD7">
        <w:rPr>
          <w:rFonts w:asciiTheme="majorHAnsi" w:eastAsia="Times New Roman" w:hAnsiTheme="majorHAnsi" w:cs="Calibri"/>
          <w:sz w:val="22"/>
          <w:szCs w:val="22"/>
          <w:lang w:val="bs-Latn-BA"/>
        </w:rPr>
        <w:lastRenderedPageBreak/>
        <w:t>mjesta, s ciljem da radna mjesta razvrsta po karakteru i stepenu složenosti, odnosno da poslovima odredi nominalnu vrijednost.</w:t>
      </w:r>
    </w:p>
    <w:p w:rsidR="00976929" w:rsidRPr="007D3DD7" w:rsidRDefault="00976929" w:rsidP="00976929">
      <w:pPr>
        <w:spacing w:before="60" w:after="60"/>
        <w:jc w:val="both"/>
        <w:rPr>
          <w:rFonts w:asciiTheme="majorHAnsi" w:eastAsia="Times New Roman" w:hAnsiTheme="majorHAnsi" w:cs="Calibri"/>
          <w:sz w:val="22"/>
          <w:szCs w:val="22"/>
          <w:lang w:val="bs-Latn-BA"/>
        </w:rPr>
      </w:pPr>
    </w:p>
    <w:p w:rsidR="00976929" w:rsidRPr="007D3DD7" w:rsidRDefault="00976929" w:rsidP="00976929">
      <w:pPr>
        <w:spacing w:before="60" w:after="60"/>
        <w:jc w:val="both"/>
        <w:rPr>
          <w:rFonts w:asciiTheme="majorHAnsi" w:eastAsia="Times New Roman" w:hAnsiTheme="majorHAnsi" w:cs="Calibri"/>
          <w:sz w:val="22"/>
          <w:szCs w:val="22"/>
          <w:lang w:val="bs-Latn-BA"/>
        </w:rPr>
      </w:pPr>
      <w:r w:rsidRPr="007D3DD7">
        <w:rPr>
          <w:rFonts w:asciiTheme="majorHAnsi" w:eastAsia="Times New Roman" w:hAnsiTheme="majorHAnsi" w:cs="Calibri"/>
          <w:sz w:val="22"/>
          <w:szCs w:val="22"/>
          <w:lang w:val="bs-Latn-BA"/>
        </w:rPr>
        <w:t>Radna mjesta u upravnim strukturama u BiH nikad nisu na pravi način klasifikovana tako da se u praksi vrlo često susreće situacija gdje se ista radna mjesta u različitim institucijama (ili čak u različitim organizacionim cjelinama iste institucije) ozbiljno razlikuju, a nominalno su klasifikovana u istu grupu poslova (npr. stručni savjetnici ili saradnici). Prošlogodišnji izvještaj TI BiH navodi aktivnosti Ministarstva pravde na državnom nivou na standardizaciji opisa radnih mjesta, međutim postupak harmonizacije opisa nije podrazumijevao njihovu prethodnu analizu u odnosu na ono što izvršioci stvarno rade i ono što su potrebe institucije.</w:t>
      </w:r>
    </w:p>
    <w:p w:rsidR="00976929" w:rsidRPr="007D3DD7" w:rsidRDefault="00976929" w:rsidP="00976929">
      <w:pPr>
        <w:spacing w:before="60" w:after="60"/>
        <w:jc w:val="both"/>
        <w:rPr>
          <w:rFonts w:asciiTheme="majorHAnsi" w:eastAsia="Times New Roman" w:hAnsiTheme="majorHAnsi" w:cs="Calibri"/>
          <w:sz w:val="22"/>
          <w:szCs w:val="22"/>
          <w:lang w:val="bs-Latn-BA"/>
        </w:rPr>
      </w:pPr>
    </w:p>
    <w:p w:rsidR="00976929" w:rsidRPr="007D3DD7" w:rsidRDefault="00976929" w:rsidP="00976929">
      <w:pPr>
        <w:spacing w:before="60" w:after="60"/>
        <w:jc w:val="both"/>
        <w:rPr>
          <w:rFonts w:asciiTheme="majorHAnsi" w:eastAsia="Times New Roman" w:hAnsiTheme="majorHAnsi" w:cs="Calibri"/>
          <w:sz w:val="22"/>
          <w:szCs w:val="22"/>
          <w:lang w:val="bs-Latn-BA"/>
        </w:rPr>
      </w:pPr>
      <w:r w:rsidRPr="007D3DD7">
        <w:rPr>
          <w:rFonts w:asciiTheme="majorHAnsi" w:eastAsia="Times New Roman" w:hAnsiTheme="majorHAnsi" w:cs="Calibri"/>
          <w:sz w:val="22"/>
          <w:szCs w:val="22"/>
          <w:lang w:val="bs-Latn-BA"/>
        </w:rPr>
        <w:t xml:space="preserve">U naporima za prevazilaženjem postojećih nedostataka najdalje je u protekloj godini otišao projekt </w:t>
      </w:r>
      <w:r w:rsidR="00584214" w:rsidRPr="007D3DD7">
        <w:rPr>
          <w:rFonts w:asciiTheme="majorHAnsi" w:eastAsia="Times New Roman" w:hAnsiTheme="majorHAnsi" w:cs="Calibri"/>
          <w:sz w:val="22"/>
          <w:szCs w:val="22"/>
          <w:lang w:val="bs-Latn-BA"/>
        </w:rPr>
        <w:t>EU-HRM</w:t>
      </w:r>
      <w:r w:rsidRPr="007D3DD7">
        <w:rPr>
          <w:rFonts w:asciiTheme="majorHAnsi" w:eastAsia="Times New Roman" w:hAnsiTheme="majorHAnsi" w:cs="Calibri"/>
          <w:sz w:val="22"/>
          <w:szCs w:val="22"/>
          <w:lang w:val="bs-Latn-BA"/>
        </w:rPr>
        <w:t xml:space="preserve"> sa aktivnostima na uvođenju metodologija za sveobuhvatnu analizu i analitičku procjenu radnih mjesta (klasifikaciju/gradaciju radnih mjesta), kako bi se poboljšali opisi radnih mjesta, što čini osnovu za modernizaciju cijelog sistema </w:t>
      </w:r>
      <w:r w:rsidR="00A413F4" w:rsidRPr="007D3DD7">
        <w:rPr>
          <w:rFonts w:asciiTheme="majorHAnsi" w:eastAsia="Times New Roman" w:hAnsiTheme="majorHAnsi" w:cs="Calibri"/>
          <w:sz w:val="22"/>
          <w:szCs w:val="22"/>
          <w:lang w:val="bs-Latn-BA"/>
        </w:rPr>
        <w:t>HRM</w:t>
      </w:r>
      <w:r w:rsidRPr="007D3DD7">
        <w:rPr>
          <w:rFonts w:asciiTheme="majorHAnsi" w:eastAsia="Times New Roman" w:hAnsiTheme="majorHAnsi" w:cs="Calibri"/>
          <w:sz w:val="22"/>
          <w:szCs w:val="22"/>
          <w:lang w:val="bs-Latn-BA"/>
        </w:rPr>
        <w:t xml:space="preserve">. </w:t>
      </w:r>
    </w:p>
    <w:p w:rsidR="00976929" w:rsidRPr="007D3DD7" w:rsidRDefault="00976929" w:rsidP="00976929">
      <w:pPr>
        <w:spacing w:before="60" w:after="60"/>
        <w:jc w:val="both"/>
        <w:rPr>
          <w:rFonts w:asciiTheme="majorHAnsi" w:eastAsia="Times New Roman" w:hAnsiTheme="majorHAnsi" w:cs="Calibri"/>
          <w:sz w:val="22"/>
          <w:szCs w:val="22"/>
          <w:lang w:val="bs-Latn-BA"/>
        </w:rPr>
      </w:pPr>
    </w:p>
    <w:p w:rsidR="00F81C6B" w:rsidRPr="007D3DD7" w:rsidRDefault="00976929" w:rsidP="00976929">
      <w:pPr>
        <w:tabs>
          <w:tab w:val="left" w:pos="0"/>
        </w:tabs>
        <w:spacing w:before="60" w:after="60"/>
        <w:jc w:val="both"/>
        <w:rPr>
          <w:rFonts w:asciiTheme="majorHAnsi" w:eastAsia="Times New Roman" w:hAnsiTheme="majorHAnsi" w:cs="Calibri"/>
          <w:sz w:val="22"/>
          <w:szCs w:val="22"/>
          <w:lang w:val="bs-Latn-BA" w:eastAsia="it-IT"/>
        </w:rPr>
      </w:pPr>
      <w:r w:rsidRPr="007D3DD7">
        <w:rPr>
          <w:rFonts w:asciiTheme="majorHAnsi" w:eastAsia="Times New Roman" w:hAnsiTheme="majorHAnsi" w:cs="Calibri"/>
          <w:sz w:val="22"/>
          <w:szCs w:val="22"/>
          <w:lang w:val="bs-Latn-BA"/>
        </w:rPr>
        <w:t xml:space="preserve">Na nivou FBiH, projekt </w:t>
      </w:r>
      <w:r w:rsidR="00584214" w:rsidRPr="007D3DD7">
        <w:rPr>
          <w:rFonts w:asciiTheme="majorHAnsi" w:eastAsia="Times New Roman" w:hAnsiTheme="majorHAnsi" w:cs="Calibri"/>
          <w:sz w:val="22"/>
          <w:szCs w:val="22"/>
          <w:lang w:val="bs-Latn-BA"/>
        </w:rPr>
        <w:t>EU-HRM</w:t>
      </w:r>
      <w:r w:rsidRPr="007D3DD7">
        <w:rPr>
          <w:rFonts w:asciiTheme="majorHAnsi" w:eastAsia="Times New Roman" w:hAnsiTheme="majorHAnsi" w:cs="Calibri"/>
          <w:sz w:val="22"/>
          <w:szCs w:val="22"/>
          <w:lang w:val="bs-Latn-BA"/>
        </w:rPr>
        <w:t xml:space="preserve"> pomogao je ključnim korisnicima da pripreme nacrt izmjena i dopuna </w:t>
      </w:r>
      <w:r w:rsidRPr="007D3DD7">
        <w:rPr>
          <w:rFonts w:asciiTheme="majorHAnsi" w:eastAsia="Times New Roman" w:hAnsiTheme="majorHAnsi" w:cs="Calibri"/>
          <w:i/>
          <w:sz w:val="22"/>
          <w:szCs w:val="22"/>
          <w:lang w:val="bs-Latn-BA"/>
        </w:rPr>
        <w:t>Uredbe o poslovima osnovne djelatnosti iz nadležnosti organa državne službe koje obavljaju državni službenici</w:t>
      </w:r>
      <w:r w:rsidRPr="007D3DD7">
        <w:rPr>
          <w:rFonts w:asciiTheme="majorHAnsi" w:eastAsia="Times New Roman" w:hAnsiTheme="majorHAnsi" w:cs="Calibri"/>
          <w:sz w:val="22"/>
          <w:szCs w:val="22"/>
          <w:lang w:val="bs-Latn-BA"/>
        </w:rPr>
        <w:t>. I</w:t>
      </w:r>
      <w:r w:rsidRPr="007D3DD7">
        <w:rPr>
          <w:rFonts w:asciiTheme="majorHAnsi" w:eastAsia="Times New Roman" w:hAnsiTheme="majorHAnsi" w:cs="Calibri"/>
          <w:sz w:val="22"/>
          <w:szCs w:val="22"/>
          <w:lang w:val="bs-Latn-BA" w:eastAsia="it-IT"/>
        </w:rPr>
        <w:t xml:space="preserve">zmjene i dopune uvode metodologiju analize radnih mjesta i po prvi put okvir kompetencija u sistem državne službe FBiH. </w:t>
      </w:r>
      <w:r w:rsidR="00B86217" w:rsidRPr="007D3DD7">
        <w:rPr>
          <w:rFonts w:asciiTheme="majorHAnsi" w:eastAsia="Times New Roman" w:hAnsiTheme="majorHAnsi" w:cs="Calibri"/>
          <w:sz w:val="22"/>
          <w:szCs w:val="22"/>
          <w:lang w:val="bs-Latn-BA" w:eastAsia="it-IT"/>
        </w:rPr>
        <w:t xml:space="preserve">Spomenuta </w:t>
      </w:r>
      <w:r w:rsidRPr="007D3DD7">
        <w:rPr>
          <w:rFonts w:asciiTheme="majorHAnsi" w:eastAsia="Times New Roman" w:hAnsiTheme="majorHAnsi" w:cs="Calibri"/>
          <w:sz w:val="22"/>
          <w:szCs w:val="22"/>
          <w:lang w:val="bs-Latn-BA" w:eastAsia="it-IT"/>
        </w:rPr>
        <w:t xml:space="preserve">Uredba </w:t>
      </w:r>
      <w:r w:rsidR="00B86217" w:rsidRPr="007D3DD7">
        <w:rPr>
          <w:rFonts w:asciiTheme="majorHAnsi" w:eastAsia="Times New Roman" w:hAnsiTheme="majorHAnsi" w:cs="Calibri"/>
          <w:sz w:val="22"/>
          <w:szCs w:val="22"/>
          <w:lang w:val="bs-Latn-BA" w:eastAsia="it-IT"/>
        </w:rPr>
        <w:t xml:space="preserve">je </w:t>
      </w:r>
      <w:r w:rsidRPr="007D3DD7">
        <w:rPr>
          <w:rFonts w:asciiTheme="majorHAnsi" w:eastAsia="Times New Roman" w:hAnsiTheme="majorHAnsi" w:cs="Calibri"/>
          <w:sz w:val="22"/>
          <w:szCs w:val="22"/>
          <w:lang w:val="bs-Latn-BA" w:eastAsia="it-IT"/>
        </w:rPr>
        <w:t>usvojena na sjednici Vlade FBiH početkom februara 2016.</w:t>
      </w:r>
      <w:r w:rsidR="00B86217" w:rsidRPr="007D3DD7">
        <w:rPr>
          <w:rFonts w:asciiTheme="majorHAnsi" w:eastAsia="Times New Roman" w:hAnsiTheme="majorHAnsi" w:cs="Calibri"/>
          <w:sz w:val="22"/>
          <w:szCs w:val="22"/>
          <w:lang w:val="bs-Latn-BA" w:eastAsia="it-IT"/>
        </w:rPr>
        <w:t xml:space="preserve"> Striktno gledano, ovaj rezultat ne bi trebao biti dijelom ovog izvještaja, ali radi se aktivnosti koja se naslanja na nešto što je većim dijelom urađeno u 2015. godini, </w:t>
      </w:r>
      <w:r w:rsidR="00F81C6B" w:rsidRPr="007D3DD7">
        <w:rPr>
          <w:rFonts w:asciiTheme="majorHAnsi" w:eastAsia="Times New Roman" w:hAnsiTheme="majorHAnsi" w:cs="Calibri"/>
          <w:sz w:val="22"/>
          <w:szCs w:val="22"/>
          <w:lang w:val="bs-Latn-BA" w:eastAsia="it-IT"/>
        </w:rPr>
        <w:t xml:space="preserve">pa je stoga uključena u ovaj dokument. </w:t>
      </w:r>
    </w:p>
    <w:p w:rsidR="00F81C6B" w:rsidRPr="007D3DD7" w:rsidRDefault="00F81C6B" w:rsidP="00976929">
      <w:pPr>
        <w:tabs>
          <w:tab w:val="left" w:pos="0"/>
        </w:tabs>
        <w:spacing w:before="60" w:after="60"/>
        <w:jc w:val="both"/>
        <w:rPr>
          <w:rFonts w:asciiTheme="majorHAnsi" w:eastAsia="Times New Roman" w:hAnsiTheme="majorHAnsi" w:cs="Calibri"/>
          <w:sz w:val="22"/>
          <w:szCs w:val="22"/>
          <w:lang w:val="bs-Latn-BA" w:eastAsia="it-IT"/>
        </w:rPr>
      </w:pPr>
    </w:p>
    <w:p w:rsidR="00976929" w:rsidRPr="007D3DD7" w:rsidRDefault="00F81C6B" w:rsidP="00976929">
      <w:pPr>
        <w:tabs>
          <w:tab w:val="left" w:pos="0"/>
        </w:tabs>
        <w:spacing w:before="60" w:after="60"/>
        <w:jc w:val="both"/>
        <w:rPr>
          <w:rFonts w:asciiTheme="majorHAnsi" w:eastAsia="Times New Roman" w:hAnsiTheme="majorHAnsi" w:cs="Calibri"/>
          <w:sz w:val="22"/>
          <w:szCs w:val="22"/>
          <w:lang w:val="bs-Latn-BA" w:eastAsia="it-IT"/>
        </w:rPr>
      </w:pPr>
      <w:r w:rsidRPr="007D3DD7">
        <w:rPr>
          <w:rFonts w:asciiTheme="majorHAnsi" w:eastAsia="Times New Roman" w:hAnsiTheme="majorHAnsi" w:cs="Calibri"/>
          <w:sz w:val="22"/>
          <w:szCs w:val="22"/>
          <w:lang w:val="bs-Latn-BA" w:eastAsia="it-IT"/>
        </w:rPr>
        <w:t xml:space="preserve">Inače, </w:t>
      </w:r>
      <w:r w:rsidR="00976929" w:rsidRPr="007D3DD7">
        <w:rPr>
          <w:rFonts w:asciiTheme="majorHAnsi" w:eastAsia="Times New Roman" w:hAnsiTheme="majorHAnsi" w:cs="Calibri"/>
          <w:sz w:val="22"/>
          <w:szCs w:val="22"/>
          <w:lang w:val="bs-Latn-BA" w:eastAsia="it-IT"/>
        </w:rPr>
        <w:t xml:space="preserve">iako </w:t>
      </w:r>
      <w:r w:rsidRPr="007D3DD7">
        <w:rPr>
          <w:rFonts w:asciiTheme="majorHAnsi" w:eastAsia="Times New Roman" w:hAnsiTheme="majorHAnsi" w:cs="Calibri"/>
          <w:sz w:val="22"/>
          <w:szCs w:val="22"/>
          <w:lang w:val="bs-Latn-BA" w:eastAsia="it-IT"/>
        </w:rPr>
        <w:t xml:space="preserve">se ovom Uredbom </w:t>
      </w:r>
      <w:r w:rsidR="00976929" w:rsidRPr="007D3DD7">
        <w:rPr>
          <w:rFonts w:asciiTheme="majorHAnsi" w:eastAsia="Times New Roman" w:hAnsiTheme="majorHAnsi" w:cs="Calibri"/>
          <w:sz w:val="22"/>
          <w:szCs w:val="22"/>
          <w:lang w:val="bs-Latn-BA" w:eastAsia="it-IT"/>
        </w:rPr>
        <w:t xml:space="preserve">uvodi </w:t>
      </w:r>
      <w:r w:rsidRPr="007D3DD7">
        <w:rPr>
          <w:rFonts w:asciiTheme="majorHAnsi" w:eastAsia="Times New Roman" w:hAnsiTheme="majorHAnsi" w:cs="Calibri"/>
          <w:sz w:val="22"/>
          <w:szCs w:val="22"/>
          <w:lang w:val="bs-Latn-BA" w:eastAsia="it-IT"/>
        </w:rPr>
        <w:t>veoma važna praksa</w:t>
      </w:r>
      <w:r w:rsidR="00976929" w:rsidRPr="007D3DD7">
        <w:rPr>
          <w:rFonts w:asciiTheme="majorHAnsi" w:eastAsia="Times New Roman" w:hAnsiTheme="majorHAnsi" w:cs="Calibri"/>
          <w:sz w:val="22"/>
          <w:szCs w:val="22"/>
          <w:lang w:val="bs-Latn-BA" w:eastAsia="it-IT"/>
        </w:rPr>
        <w:t xml:space="preserve"> analize radnih mjesta</w:t>
      </w:r>
      <w:r w:rsidRPr="007D3DD7">
        <w:rPr>
          <w:rFonts w:asciiTheme="majorHAnsi" w:eastAsia="Times New Roman" w:hAnsiTheme="majorHAnsi" w:cs="Calibri"/>
          <w:sz w:val="22"/>
          <w:szCs w:val="22"/>
          <w:lang w:val="bs-Latn-BA" w:eastAsia="it-IT"/>
        </w:rPr>
        <w:t>, kao</w:t>
      </w:r>
      <w:r w:rsidR="00976929" w:rsidRPr="007D3DD7">
        <w:rPr>
          <w:rFonts w:asciiTheme="majorHAnsi" w:eastAsia="Times New Roman" w:hAnsiTheme="majorHAnsi" w:cs="Calibri"/>
          <w:sz w:val="22"/>
          <w:szCs w:val="22"/>
          <w:lang w:val="bs-Latn-BA" w:eastAsia="it-IT"/>
        </w:rPr>
        <w:t xml:space="preserve"> i </w:t>
      </w:r>
      <w:r w:rsidRPr="007D3DD7">
        <w:rPr>
          <w:rFonts w:asciiTheme="majorHAnsi" w:eastAsia="Times New Roman" w:hAnsiTheme="majorHAnsi" w:cs="Calibri"/>
          <w:sz w:val="22"/>
          <w:szCs w:val="22"/>
          <w:lang w:val="bs-Latn-BA" w:eastAsia="it-IT"/>
        </w:rPr>
        <w:t xml:space="preserve">koncept </w:t>
      </w:r>
      <w:r w:rsidR="00976929" w:rsidRPr="007D3DD7">
        <w:rPr>
          <w:rFonts w:asciiTheme="majorHAnsi" w:eastAsia="Times New Roman" w:hAnsiTheme="majorHAnsi" w:cs="Calibri"/>
          <w:sz w:val="22"/>
          <w:szCs w:val="22"/>
          <w:lang w:val="bs-Latn-BA" w:eastAsia="it-IT"/>
        </w:rPr>
        <w:t>okvira kompetencija</w:t>
      </w:r>
      <w:r w:rsidRPr="007D3DD7">
        <w:rPr>
          <w:rFonts w:asciiTheme="majorHAnsi" w:eastAsia="Times New Roman" w:hAnsiTheme="majorHAnsi" w:cs="Calibri"/>
          <w:sz w:val="22"/>
          <w:szCs w:val="22"/>
          <w:lang w:val="bs-Latn-BA" w:eastAsia="it-IT"/>
        </w:rPr>
        <w:t xml:space="preserve">, </w:t>
      </w:r>
      <w:r w:rsidR="00B05C07" w:rsidRPr="007D3DD7">
        <w:rPr>
          <w:rFonts w:asciiTheme="majorHAnsi" w:eastAsia="Times New Roman" w:hAnsiTheme="majorHAnsi" w:cs="Calibri"/>
          <w:sz w:val="22"/>
          <w:szCs w:val="22"/>
          <w:lang w:val="bs-Latn-BA" w:eastAsia="it-IT"/>
        </w:rPr>
        <w:t>postoje dva problema koji umanjuju značaj ovog postignuća. Prvi problem je suštinske prirode i odnosi se na činjenicu da je izmijenjeni ZDS FBiH praktično eliminisao princip meritornosti kod zapošljavanja na pozicije nekadašnjih rukovodećih državnih službenika (i.e. pomoćnici rukovodilaca, sekretari organa uprave i glavni inspektori). Na ovaj način se ograničava 'domet' novih praksi, jer će se odnositi samo na nerukovodeća službenička mjesta. Drugi problem je tehničke prirode i odnosi se na vremenski rok koji se ostavlja</w:t>
      </w:r>
      <w:r w:rsidRPr="007D3DD7">
        <w:rPr>
          <w:rFonts w:asciiTheme="majorHAnsi" w:eastAsia="Times New Roman" w:hAnsiTheme="majorHAnsi" w:cs="Calibri"/>
          <w:sz w:val="22"/>
          <w:szCs w:val="22"/>
          <w:lang w:val="bs-Latn-BA" w:eastAsia="it-IT"/>
        </w:rPr>
        <w:t xml:space="preserve"> organima uprave FBiH da provedu analizu radnih mjesta. Ovaj rok </w:t>
      </w:r>
      <w:r w:rsidR="00B05C07" w:rsidRPr="007D3DD7">
        <w:rPr>
          <w:rFonts w:asciiTheme="majorHAnsi" w:eastAsia="Times New Roman" w:hAnsiTheme="majorHAnsi" w:cs="Calibri"/>
          <w:sz w:val="22"/>
          <w:szCs w:val="22"/>
          <w:lang w:val="bs-Latn-BA" w:eastAsia="it-IT"/>
        </w:rPr>
        <w:t xml:space="preserve">iznosi 30 dana (od dana usvajanja Uredbe) </w:t>
      </w:r>
      <w:r w:rsidR="00E36609" w:rsidRPr="007D3DD7">
        <w:rPr>
          <w:rFonts w:asciiTheme="majorHAnsi" w:eastAsia="Times New Roman" w:hAnsiTheme="majorHAnsi" w:cs="Calibri"/>
          <w:sz w:val="22"/>
          <w:szCs w:val="22"/>
          <w:lang w:val="bs-Latn-BA" w:eastAsia="it-IT"/>
        </w:rPr>
        <w:t xml:space="preserve">i </w:t>
      </w:r>
      <w:r w:rsidR="00976929" w:rsidRPr="007D3DD7">
        <w:rPr>
          <w:rFonts w:asciiTheme="majorHAnsi" w:eastAsia="Times New Roman" w:hAnsiTheme="majorHAnsi" w:cs="Calibri"/>
          <w:sz w:val="22"/>
          <w:szCs w:val="22"/>
          <w:lang w:val="bs-Latn-BA" w:eastAsia="it-IT"/>
        </w:rPr>
        <w:t xml:space="preserve">objektivno </w:t>
      </w:r>
      <w:r w:rsidR="00E36609" w:rsidRPr="007D3DD7">
        <w:rPr>
          <w:rFonts w:asciiTheme="majorHAnsi" w:eastAsia="Times New Roman" w:hAnsiTheme="majorHAnsi" w:cs="Calibri"/>
          <w:sz w:val="22"/>
          <w:szCs w:val="22"/>
          <w:lang w:val="bs-Latn-BA" w:eastAsia="it-IT"/>
        </w:rPr>
        <w:t xml:space="preserve">je </w:t>
      </w:r>
      <w:r w:rsidR="00976929" w:rsidRPr="007D3DD7">
        <w:rPr>
          <w:rFonts w:asciiTheme="majorHAnsi" w:eastAsia="Times New Roman" w:hAnsiTheme="majorHAnsi" w:cs="Calibri"/>
          <w:sz w:val="22"/>
          <w:szCs w:val="22"/>
          <w:lang w:val="bs-Latn-BA" w:eastAsia="it-IT"/>
        </w:rPr>
        <w:t>prekratak</w:t>
      </w:r>
      <w:r w:rsidRPr="007D3DD7">
        <w:rPr>
          <w:rFonts w:asciiTheme="majorHAnsi" w:eastAsia="Times New Roman" w:hAnsiTheme="majorHAnsi" w:cs="Calibri"/>
          <w:sz w:val="22"/>
          <w:szCs w:val="22"/>
          <w:lang w:val="bs-Latn-BA" w:eastAsia="it-IT"/>
        </w:rPr>
        <w:t xml:space="preserve"> naročito za organe uprave </w:t>
      </w:r>
      <w:r w:rsidR="00E36609" w:rsidRPr="007D3DD7">
        <w:rPr>
          <w:rFonts w:asciiTheme="majorHAnsi" w:eastAsia="Times New Roman" w:hAnsiTheme="majorHAnsi" w:cs="Calibri"/>
          <w:sz w:val="22"/>
          <w:szCs w:val="22"/>
          <w:lang w:val="bs-Latn-BA" w:eastAsia="it-IT"/>
        </w:rPr>
        <w:t>sa većim brojem zaposlenih (</w:t>
      </w:r>
      <w:r w:rsidRPr="007D3DD7">
        <w:rPr>
          <w:rFonts w:asciiTheme="majorHAnsi" w:eastAsia="Times New Roman" w:hAnsiTheme="majorHAnsi" w:cs="Calibri"/>
          <w:sz w:val="22"/>
          <w:szCs w:val="22"/>
          <w:lang w:val="bs-Latn-BA" w:eastAsia="it-IT"/>
        </w:rPr>
        <w:t xml:space="preserve">50 </w:t>
      </w:r>
      <w:r w:rsidR="00E36609" w:rsidRPr="007D3DD7">
        <w:rPr>
          <w:rFonts w:asciiTheme="majorHAnsi" w:eastAsia="Times New Roman" w:hAnsiTheme="majorHAnsi" w:cs="Calibri"/>
          <w:sz w:val="22"/>
          <w:szCs w:val="22"/>
          <w:lang w:val="bs-Latn-BA" w:eastAsia="it-IT"/>
        </w:rPr>
        <w:t>i više ljudi)</w:t>
      </w:r>
      <w:r w:rsidRPr="007D3DD7">
        <w:rPr>
          <w:rFonts w:asciiTheme="majorHAnsi" w:eastAsia="Times New Roman" w:hAnsiTheme="majorHAnsi" w:cs="Calibri"/>
          <w:sz w:val="22"/>
          <w:szCs w:val="22"/>
          <w:lang w:val="bs-Latn-BA" w:eastAsia="it-IT"/>
        </w:rPr>
        <w:t xml:space="preserve">, jer treba imati na umu da </w:t>
      </w:r>
      <w:r w:rsidR="003E69F6" w:rsidRPr="007D3DD7">
        <w:rPr>
          <w:rFonts w:asciiTheme="majorHAnsi" w:eastAsia="Times New Roman" w:hAnsiTheme="majorHAnsi" w:cs="Calibri"/>
          <w:sz w:val="22"/>
          <w:szCs w:val="22"/>
          <w:lang w:val="bs-Latn-BA" w:eastAsia="it-IT"/>
        </w:rPr>
        <w:t xml:space="preserve">se analiza radnih mjesta provodi s namjerom da poboljša opise poslova što </w:t>
      </w:r>
      <w:r w:rsidR="00E36609" w:rsidRPr="007D3DD7">
        <w:rPr>
          <w:rFonts w:asciiTheme="majorHAnsi" w:eastAsia="Times New Roman" w:hAnsiTheme="majorHAnsi" w:cs="Calibri"/>
          <w:sz w:val="22"/>
          <w:szCs w:val="22"/>
          <w:lang w:val="bs-Latn-BA" w:eastAsia="it-IT"/>
        </w:rPr>
        <w:t xml:space="preserve">je osjetljiv proces koji se </w:t>
      </w:r>
      <w:r w:rsidR="003E69F6" w:rsidRPr="007D3DD7">
        <w:rPr>
          <w:rFonts w:asciiTheme="majorHAnsi" w:eastAsia="Times New Roman" w:hAnsiTheme="majorHAnsi" w:cs="Calibri"/>
          <w:sz w:val="22"/>
          <w:szCs w:val="22"/>
          <w:lang w:val="bs-Latn-BA" w:eastAsia="it-IT"/>
        </w:rPr>
        <w:t>zahtijeva vrijeme</w:t>
      </w:r>
      <w:r w:rsidR="00976929" w:rsidRPr="007D3DD7">
        <w:rPr>
          <w:rFonts w:asciiTheme="majorHAnsi" w:eastAsia="Times New Roman" w:hAnsiTheme="majorHAnsi" w:cs="Calibri"/>
          <w:sz w:val="22"/>
          <w:szCs w:val="22"/>
          <w:lang w:val="bs-Latn-BA" w:eastAsia="it-IT"/>
        </w:rPr>
        <w:t xml:space="preserve">. </w:t>
      </w:r>
    </w:p>
    <w:p w:rsidR="00976929" w:rsidRPr="007D3DD7" w:rsidRDefault="00976929" w:rsidP="00976929">
      <w:pPr>
        <w:tabs>
          <w:tab w:val="left" w:pos="0"/>
        </w:tabs>
        <w:spacing w:before="60" w:after="60"/>
        <w:jc w:val="both"/>
        <w:rPr>
          <w:rFonts w:asciiTheme="majorHAnsi" w:eastAsia="Times New Roman" w:hAnsiTheme="majorHAnsi" w:cs="Calibri"/>
          <w:sz w:val="22"/>
          <w:szCs w:val="22"/>
          <w:lang w:val="bs-Latn-BA" w:eastAsia="it-IT"/>
        </w:rPr>
      </w:pPr>
      <w:r w:rsidRPr="007D3DD7">
        <w:rPr>
          <w:rFonts w:asciiTheme="majorHAnsi" w:eastAsia="Times New Roman" w:hAnsiTheme="majorHAnsi" w:cs="Calibri"/>
          <w:sz w:val="22"/>
          <w:szCs w:val="22"/>
          <w:lang w:val="bs-Latn-BA" w:eastAsia="it-IT"/>
        </w:rPr>
        <w:t xml:space="preserve"> </w:t>
      </w:r>
    </w:p>
    <w:p w:rsidR="00976929" w:rsidRPr="007D3DD7" w:rsidRDefault="00976929" w:rsidP="00976929">
      <w:pPr>
        <w:spacing w:before="60" w:after="60"/>
        <w:jc w:val="both"/>
        <w:rPr>
          <w:rFonts w:asciiTheme="majorHAnsi" w:eastAsia="Times New Roman" w:hAnsiTheme="majorHAnsi" w:cs="Calibri"/>
          <w:sz w:val="22"/>
          <w:szCs w:val="22"/>
          <w:lang w:val="bs-Latn-BA" w:eastAsia="en-GB"/>
        </w:rPr>
      </w:pPr>
      <w:r w:rsidRPr="007D3DD7">
        <w:rPr>
          <w:rFonts w:asciiTheme="majorHAnsi" w:eastAsia="Times New Roman" w:hAnsiTheme="majorHAnsi" w:cs="Calibri"/>
          <w:sz w:val="22"/>
          <w:szCs w:val="22"/>
          <w:lang w:val="bs-Latn-BA"/>
        </w:rPr>
        <w:t>Na nivou RS, projektni tim EU</w:t>
      </w:r>
      <w:r w:rsidR="003E69F6" w:rsidRPr="007D3DD7">
        <w:rPr>
          <w:rFonts w:asciiTheme="majorHAnsi" w:eastAsia="Times New Roman" w:hAnsiTheme="majorHAnsi" w:cs="Calibri"/>
          <w:sz w:val="22"/>
          <w:szCs w:val="22"/>
          <w:lang w:val="bs-Latn-BA"/>
        </w:rPr>
        <w:t>-</w:t>
      </w:r>
      <w:r w:rsidRPr="007D3DD7">
        <w:rPr>
          <w:rFonts w:asciiTheme="majorHAnsi" w:eastAsia="Times New Roman" w:hAnsiTheme="majorHAnsi" w:cs="Calibri"/>
          <w:sz w:val="22"/>
          <w:szCs w:val="22"/>
          <w:lang w:val="bs-Latn-BA"/>
        </w:rPr>
        <w:t xml:space="preserve">HRM je pomogao ključnim korisnicima da uvedu koncept analize radnih mjesta, novu strukturu gradacije radnih mjesta i sistem klasifikacije radnih mjesta kroz pripremu nacrta određenih dijelova novog nacrta </w:t>
      </w:r>
      <w:r w:rsidRPr="007D3DD7">
        <w:rPr>
          <w:rFonts w:asciiTheme="majorHAnsi" w:eastAsia="Times New Roman" w:hAnsiTheme="majorHAnsi" w:cs="Calibri"/>
          <w:i/>
          <w:sz w:val="22"/>
          <w:szCs w:val="22"/>
          <w:lang w:val="bs-Latn-BA"/>
        </w:rPr>
        <w:t>Zakona o državnim službenicima</w:t>
      </w:r>
      <w:r w:rsidR="003E69F6" w:rsidRPr="007D3DD7">
        <w:rPr>
          <w:rFonts w:asciiTheme="majorHAnsi" w:eastAsia="Times New Roman" w:hAnsiTheme="majorHAnsi" w:cs="Calibri"/>
          <w:sz w:val="22"/>
          <w:szCs w:val="22"/>
          <w:lang w:val="bs-Latn-BA"/>
        </w:rPr>
        <w:t>. Također, EU-HRM projekat je doprinio i pripremi</w:t>
      </w:r>
      <w:r w:rsidRPr="007D3DD7">
        <w:rPr>
          <w:rFonts w:asciiTheme="majorHAnsi" w:eastAsia="Times New Roman" w:hAnsiTheme="majorHAnsi" w:cs="Calibri"/>
          <w:sz w:val="22"/>
          <w:szCs w:val="22"/>
          <w:lang w:val="bs-Latn-BA"/>
        </w:rPr>
        <w:t xml:space="preserve"> nacrt</w:t>
      </w:r>
      <w:r w:rsidR="003E69F6" w:rsidRPr="007D3DD7">
        <w:rPr>
          <w:rFonts w:asciiTheme="majorHAnsi" w:eastAsia="Times New Roman" w:hAnsiTheme="majorHAnsi" w:cs="Calibri"/>
          <w:sz w:val="22"/>
          <w:szCs w:val="22"/>
          <w:lang w:val="bs-Latn-BA"/>
        </w:rPr>
        <w:t>a</w:t>
      </w:r>
      <w:r w:rsidRPr="007D3DD7">
        <w:rPr>
          <w:rFonts w:asciiTheme="majorHAnsi" w:eastAsia="Times New Roman" w:hAnsiTheme="majorHAnsi" w:cs="Calibri"/>
          <w:sz w:val="22"/>
          <w:szCs w:val="22"/>
          <w:lang w:val="bs-Latn-BA"/>
        </w:rPr>
        <w:t xml:space="preserve"> </w:t>
      </w:r>
      <w:r w:rsidRPr="007D3DD7">
        <w:rPr>
          <w:rFonts w:asciiTheme="majorHAnsi" w:eastAsia="Times New Roman" w:hAnsiTheme="majorHAnsi" w:cs="Calibri"/>
          <w:i/>
          <w:sz w:val="22"/>
          <w:szCs w:val="22"/>
          <w:lang w:val="bs-Latn-BA"/>
        </w:rPr>
        <w:t>Uredbe o analizi i razvrstavanju radnih mjesta</w:t>
      </w:r>
      <w:r w:rsidR="003E69F6" w:rsidRPr="007D3DD7">
        <w:rPr>
          <w:rFonts w:asciiTheme="majorHAnsi" w:eastAsia="Times New Roman" w:hAnsiTheme="majorHAnsi" w:cs="Calibri"/>
          <w:i/>
          <w:sz w:val="22"/>
          <w:szCs w:val="22"/>
          <w:lang w:val="bs-Latn-BA"/>
        </w:rPr>
        <w:t>,</w:t>
      </w:r>
      <w:r w:rsidRPr="007D3DD7">
        <w:rPr>
          <w:rFonts w:asciiTheme="majorHAnsi" w:eastAsia="Times New Roman" w:hAnsiTheme="majorHAnsi" w:cs="Calibri"/>
          <w:sz w:val="22"/>
          <w:szCs w:val="22"/>
          <w:lang w:val="bs-Latn-BA"/>
        </w:rPr>
        <w:t xml:space="preserve"> </w:t>
      </w:r>
      <w:r w:rsidR="003E69F6" w:rsidRPr="007D3DD7">
        <w:rPr>
          <w:rFonts w:asciiTheme="majorHAnsi" w:eastAsia="Times New Roman" w:hAnsiTheme="majorHAnsi" w:cs="Calibri"/>
          <w:sz w:val="22"/>
          <w:szCs w:val="22"/>
          <w:lang w:val="bs-Latn-BA" w:eastAsia="en-GB"/>
        </w:rPr>
        <w:t xml:space="preserve">kao i pripremi </w:t>
      </w:r>
      <w:r w:rsidRPr="007D3DD7">
        <w:rPr>
          <w:rFonts w:asciiTheme="majorHAnsi" w:eastAsia="Times New Roman" w:hAnsiTheme="majorHAnsi" w:cs="Calibri"/>
          <w:sz w:val="22"/>
          <w:szCs w:val="22"/>
          <w:lang w:val="bs-Latn-BA" w:eastAsia="en-GB"/>
        </w:rPr>
        <w:t xml:space="preserve">standardnih opisa radnih mjesta za različite kategorije </w:t>
      </w:r>
      <w:r w:rsidR="003E69F6" w:rsidRPr="007D3DD7">
        <w:rPr>
          <w:rFonts w:asciiTheme="majorHAnsi" w:eastAsia="Times New Roman" w:hAnsiTheme="majorHAnsi" w:cs="Calibri"/>
          <w:sz w:val="22"/>
          <w:szCs w:val="22"/>
          <w:lang w:val="bs-Latn-BA" w:eastAsia="en-GB"/>
        </w:rPr>
        <w:t xml:space="preserve">državnih službenika. </w:t>
      </w:r>
    </w:p>
    <w:p w:rsidR="00976929" w:rsidRPr="007D3DD7" w:rsidRDefault="00976929" w:rsidP="00976929">
      <w:pPr>
        <w:tabs>
          <w:tab w:val="left" w:pos="0"/>
        </w:tabs>
        <w:spacing w:before="60" w:after="60"/>
        <w:jc w:val="both"/>
        <w:rPr>
          <w:rFonts w:asciiTheme="majorHAnsi" w:eastAsia="Times New Roman" w:hAnsiTheme="majorHAnsi" w:cs="Calibri"/>
          <w:sz w:val="22"/>
          <w:szCs w:val="22"/>
          <w:lang w:val="bs-Latn-BA" w:eastAsia="en-GB"/>
        </w:rPr>
      </w:pPr>
    </w:p>
    <w:p w:rsidR="00976929" w:rsidRPr="007D3DD7" w:rsidRDefault="00976929" w:rsidP="00976929">
      <w:pPr>
        <w:tabs>
          <w:tab w:val="left" w:pos="0"/>
        </w:tabs>
        <w:spacing w:before="60" w:after="60"/>
        <w:jc w:val="both"/>
        <w:rPr>
          <w:rFonts w:asciiTheme="majorHAnsi" w:eastAsia="Times New Roman" w:hAnsiTheme="majorHAnsi" w:cs="Calibri"/>
          <w:sz w:val="22"/>
          <w:szCs w:val="22"/>
          <w:highlight w:val="cyan"/>
          <w:lang w:val="bs-Latn-BA" w:eastAsia="en-GB"/>
        </w:rPr>
      </w:pPr>
      <w:r w:rsidRPr="007D3DD7">
        <w:rPr>
          <w:rFonts w:asciiTheme="majorHAnsi" w:eastAsia="Times New Roman" w:hAnsiTheme="majorHAnsi" w:cs="Calibri"/>
          <w:sz w:val="22"/>
          <w:szCs w:val="22"/>
          <w:lang w:val="bs-Latn-BA" w:eastAsia="en-GB"/>
        </w:rPr>
        <w:t xml:space="preserve">Na nivou Brčko Distrikta, Zakonodavni ured Brčko Distrikta BiH bio je mišljenja da </w:t>
      </w:r>
      <w:r w:rsidRPr="007D3DD7">
        <w:rPr>
          <w:rFonts w:asciiTheme="majorHAnsi" w:eastAsia="Times New Roman" w:hAnsiTheme="majorHAnsi" w:cs="Calibri"/>
          <w:i/>
          <w:sz w:val="22"/>
          <w:szCs w:val="22"/>
          <w:lang w:val="bs-Latn-BA" w:eastAsia="en-GB"/>
        </w:rPr>
        <w:t>Zakon o državnoj službi</w:t>
      </w:r>
      <w:r w:rsidRPr="007D3DD7">
        <w:rPr>
          <w:rFonts w:asciiTheme="majorHAnsi" w:eastAsia="Times New Roman" w:hAnsiTheme="majorHAnsi" w:cs="Calibri"/>
          <w:sz w:val="22"/>
          <w:szCs w:val="22"/>
          <w:lang w:val="bs-Latn-BA" w:eastAsia="en-GB"/>
        </w:rPr>
        <w:t xml:space="preserve"> ne daje pravni osnov za uvođenje analize radnih mjesta i njegovo regulisanje u podzakonskim aktima, pa stoga prijedlog uvođenja analize radnih mjesta nije prihvaćen.</w:t>
      </w:r>
    </w:p>
    <w:p w:rsidR="00976929" w:rsidRDefault="00976929" w:rsidP="00976929">
      <w:pPr>
        <w:pStyle w:val="Heading3"/>
        <w:spacing w:before="60"/>
        <w:jc w:val="both"/>
        <w:rPr>
          <w:rFonts w:asciiTheme="majorHAnsi" w:hAnsiTheme="majorHAnsi"/>
          <w:sz w:val="22"/>
          <w:szCs w:val="22"/>
          <w:lang w:val="bs-Latn-BA"/>
        </w:rPr>
      </w:pPr>
    </w:p>
    <w:p w:rsidR="002B4A41" w:rsidRDefault="002B4A41" w:rsidP="002B4A41">
      <w:pPr>
        <w:rPr>
          <w:lang w:val="bs-Latn-BA"/>
        </w:rPr>
      </w:pPr>
    </w:p>
    <w:p w:rsidR="002B4A41" w:rsidRPr="002B4A41" w:rsidRDefault="002B4A41" w:rsidP="002B4A41">
      <w:pPr>
        <w:rPr>
          <w:lang w:val="bs-Latn-BA"/>
        </w:rPr>
      </w:pPr>
    </w:p>
    <w:p w:rsidR="00976929" w:rsidRPr="0041049B" w:rsidRDefault="00976929" w:rsidP="0041049B">
      <w:pPr>
        <w:pStyle w:val="NoSpacing"/>
        <w:spacing w:before="240"/>
        <w:ind w:right="-6"/>
        <w:rPr>
          <w:b/>
          <w:lang w:val="bs-Latn-BA"/>
        </w:rPr>
      </w:pPr>
      <w:r w:rsidRPr="0041049B">
        <w:rPr>
          <w:b/>
          <w:lang w:val="bs-Latn-BA"/>
        </w:rPr>
        <w:lastRenderedPageBreak/>
        <w:t>Regrutovanje i selekcija</w:t>
      </w:r>
    </w:p>
    <w:p w:rsidR="00976929" w:rsidRPr="007D3DD7" w:rsidRDefault="00976929" w:rsidP="00976929">
      <w:pPr>
        <w:autoSpaceDE w:val="0"/>
        <w:autoSpaceDN w:val="0"/>
        <w:adjustRightInd w:val="0"/>
        <w:spacing w:before="60" w:after="60"/>
        <w:jc w:val="both"/>
        <w:rPr>
          <w:rFonts w:asciiTheme="majorHAnsi" w:hAnsiTheme="majorHAnsi"/>
          <w:sz w:val="22"/>
          <w:szCs w:val="22"/>
          <w:lang w:val="bs-Latn-BA"/>
        </w:rPr>
      </w:pPr>
    </w:p>
    <w:p w:rsidR="00A96ECF" w:rsidRPr="007D3DD7" w:rsidRDefault="00A96ECF" w:rsidP="00976929">
      <w:pPr>
        <w:autoSpaceDE w:val="0"/>
        <w:autoSpaceDN w:val="0"/>
        <w:adjustRightInd w:val="0"/>
        <w:spacing w:before="60" w:after="60"/>
        <w:jc w:val="both"/>
        <w:rPr>
          <w:rFonts w:asciiTheme="majorHAnsi" w:eastAsia="Times New Roman" w:hAnsiTheme="majorHAnsi" w:cs="Gravur Condensed"/>
          <w:sz w:val="22"/>
          <w:szCs w:val="22"/>
          <w:lang w:val="bs-Latn-BA"/>
        </w:rPr>
      </w:pPr>
      <w:r w:rsidRPr="007D3DD7">
        <w:rPr>
          <w:rFonts w:asciiTheme="majorHAnsi" w:eastAsia="Times New Roman" w:hAnsiTheme="majorHAnsi" w:cs="Gravur Condensed"/>
          <w:sz w:val="22"/>
          <w:szCs w:val="22"/>
          <w:lang w:val="bs-Latn-BA"/>
        </w:rPr>
        <w:t xml:space="preserve">Proces regrutovanja podrazumijeva aktivnosti na privlačenju što većeg broja kvalitetnih kandidata da se prijave na konkurs. Da bi se u tome uspjelo, kandidatima je potrebno omogućiti da mogu lako doći do objavljenog konkursa, a potom i da mogu na što jednostavniji i jeftiniji način </w:t>
      </w:r>
      <w:r w:rsidR="002C525C" w:rsidRPr="007D3DD7">
        <w:rPr>
          <w:rFonts w:asciiTheme="majorHAnsi" w:eastAsia="Times New Roman" w:hAnsiTheme="majorHAnsi" w:cs="Gravur Condensed"/>
          <w:sz w:val="22"/>
          <w:szCs w:val="22"/>
          <w:lang w:val="bs-Latn-BA"/>
        </w:rPr>
        <w:t xml:space="preserve">izvršiti prijavu na taj </w:t>
      </w:r>
      <w:r w:rsidRPr="007D3DD7">
        <w:rPr>
          <w:rFonts w:asciiTheme="majorHAnsi" w:eastAsia="Times New Roman" w:hAnsiTheme="majorHAnsi" w:cs="Gravur Condensed"/>
          <w:sz w:val="22"/>
          <w:szCs w:val="22"/>
          <w:lang w:val="bs-Latn-BA"/>
        </w:rPr>
        <w:t>konkurs. Proces selekcije započinje nakon isteka roka za prijavu na konkurs, a podrazumijeva aktivnosti usmjerene na filtriranje prijava</w:t>
      </w:r>
      <w:r w:rsidR="002C525C" w:rsidRPr="007D3DD7">
        <w:rPr>
          <w:rFonts w:asciiTheme="majorHAnsi" w:eastAsia="Times New Roman" w:hAnsiTheme="majorHAnsi" w:cs="Gravur Condensed"/>
          <w:sz w:val="22"/>
          <w:szCs w:val="22"/>
          <w:lang w:val="bs-Latn-BA"/>
        </w:rPr>
        <w:t xml:space="preserve"> (i.e. odvajanje onih koji formalno ne ispunjavaju zahtjeve konkursa), </w:t>
      </w:r>
      <w:r w:rsidRPr="007D3DD7">
        <w:rPr>
          <w:rFonts w:asciiTheme="majorHAnsi" w:eastAsia="Times New Roman" w:hAnsiTheme="majorHAnsi" w:cs="Gravur Condensed"/>
          <w:sz w:val="22"/>
          <w:szCs w:val="22"/>
          <w:lang w:val="bs-Latn-BA"/>
        </w:rPr>
        <w:t xml:space="preserve">zatim testiranje kandidata koji ispunjavaju formalne uslove i, na kraju, </w:t>
      </w:r>
      <w:r w:rsidR="00832564" w:rsidRPr="007D3DD7">
        <w:rPr>
          <w:rFonts w:asciiTheme="majorHAnsi" w:eastAsia="Times New Roman" w:hAnsiTheme="majorHAnsi" w:cs="Gravur Condensed"/>
          <w:sz w:val="22"/>
          <w:szCs w:val="22"/>
          <w:lang w:val="bs-Latn-BA"/>
        </w:rPr>
        <w:t xml:space="preserve">zapošljavanje </w:t>
      </w:r>
      <w:r w:rsidR="005F1528" w:rsidRPr="007D3DD7">
        <w:rPr>
          <w:rFonts w:asciiTheme="majorHAnsi" w:eastAsia="Times New Roman" w:hAnsiTheme="majorHAnsi" w:cs="Gravur Condensed"/>
          <w:sz w:val="22"/>
          <w:szCs w:val="22"/>
          <w:lang w:val="bs-Latn-BA"/>
        </w:rPr>
        <w:t xml:space="preserve">onog </w:t>
      </w:r>
      <w:r w:rsidRPr="007D3DD7">
        <w:rPr>
          <w:rFonts w:asciiTheme="majorHAnsi" w:eastAsia="Times New Roman" w:hAnsiTheme="majorHAnsi" w:cs="Gravur Condensed"/>
          <w:sz w:val="22"/>
          <w:szCs w:val="22"/>
          <w:lang w:val="bs-Latn-BA"/>
        </w:rPr>
        <w:t xml:space="preserve">kandidata </w:t>
      </w:r>
      <w:r w:rsidR="005F1528" w:rsidRPr="007D3DD7">
        <w:rPr>
          <w:rFonts w:asciiTheme="majorHAnsi" w:eastAsia="Times New Roman" w:hAnsiTheme="majorHAnsi" w:cs="Gravur Condensed"/>
          <w:sz w:val="22"/>
          <w:szCs w:val="22"/>
          <w:lang w:val="bs-Latn-BA"/>
        </w:rPr>
        <w:t xml:space="preserve">koji je ostvario najbolje rezultate. </w:t>
      </w:r>
    </w:p>
    <w:p w:rsidR="00A96ECF" w:rsidRPr="007D3DD7" w:rsidRDefault="00A96ECF" w:rsidP="00976929">
      <w:pPr>
        <w:autoSpaceDE w:val="0"/>
        <w:autoSpaceDN w:val="0"/>
        <w:adjustRightInd w:val="0"/>
        <w:spacing w:before="60" w:after="60"/>
        <w:jc w:val="both"/>
        <w:rPr>
          <w:rFonts w:asciiTheme="majorHAnsi" w:eastAsia="Times New Roman" w:hAnsiTheme="majorHAnsi" w:cs="Gravur Condensed"/>
          <w:sz w:val="22"/>
          <w:szCs w:val="22"/>
          <w:lang w:val="bs-Latn-BA"/>
        </w:rPr>
      </w:pPr>
    </w:p>
    <w:p w:rsidR="00832564" w:rsidRPr="007D3DD7" w:rsidRDefault="00976929" w:rsidP="00976929">
      <w:pPr>
        <w:autoSpaceDE w:val="0"/>
        <w:autoSpaceDN w:val="0"/>
        <w:adjustRightInd w:val="0"/>
        <w:spacing w:before="60" w:after="60"/>
        <w:jc w:val="both"/>
        <w:rPr>
          <w:rFonts w:asciiTheme="majorHAnsi" w:eastAsia="Times New Roman" w:hAnsiTheme="majorHAnsi" w:cs="Gravur Condensed"/>
          <w:sz w:val="22"/>
          <w:szCs w:val="22"/>
          <w:lang w:val="bs-Latn-BA"/>
        </w:rPr>
      </w:pPr>
      <w:r w:rsidRPr="007D3DD7">
        <w:rPr>
          <w:rFonts w:asciiTheme="majorHAnsi" w:eastAsia="Times New Roman" w:hAnsiTheme="majorHAnsi" w:cs="Gravur Condensed"/>
          <w:sz w:val="22"/>
          <w:szCs w:val="22"/>
          <w:lang w:val="bs-Latn-BA"/>
        </w:rPr>
        <w:t>Analiza postojećeg stanja u segment</w:t>
      </w:r>
      <w:r w:rsidR="004F1E90" w:rsidRPr="007D3DD7">
        <w:rPr>
          <w:rFonts w:asciiTheme="majorHAnsi" w:eastAsia="Times New Roman" w:hAnsiTheme="majorHAnsi" w:cs="Gravur Condensed"/>
          <w:sz w:val="22"/>
          <w:szCs w:val="22"/>
          <w:lang w:val="bs-Latn-BA"/>
        </w:rPr>
        <w:t>u</w:t>
      </w:r>
      <w:r w:rsidRPr="007D3DD7">
        <w:rPr>
          <w:rFonts w:asciiTheme="majorHAnsi" w:eastAsia="Times New Roman" w:hAnsiTheme="majorHAnsi" w:cs="Gravur Condensed"/>
          <w:sz w:val="22"/>
          <w:szCs w:val="22"/>
          <w:lang w:val="bs-Latn-BA"/>
        </w:rPr>
        <w:t xml:space="preserve"> zapošljavanja u državnoj službi pokazuje da </w:t>
      </w:r>
      <w:r w:rsidR="00832564" w:rsidRPr="007D3DD7">
        <w:rPr>
          <w:rFonts w:asciiTheme="majorHAnsi" w:eastAsia="Times New Roman" w:hAnsiTheme="majorHAnsi" w:cs="Gravur Condensed"/>
          <w:sz w:val="22"/>
          <w:szCs w:val="22"/>
          <w:lang w:val="bs-Latn-BA"/>
        </w:rPr>
        <w:t xml:space="preserve">je značajno uvećan stepen politizacije. Razlog leži u činjenici da su na nivou FBiH usvojeni vrlo štetni amandmani na </w:t>
      </w:r>
      <w:r w:rsidR="00832564" w:rsidRPr="007D3DD7">
        <w:rPr>
          <w:rFonts w:asciiTheme="majorHAnsi" w:eastAsia="Times New Roman" w:hAnsiTheme="majorHAnsi" w:cs="Gravur Condensed"/>
          <w:i/>
          <w:sz w:val="22"/>
          <w:szCs w:val="22"/>
          <w:lang w:val="bs-Latn-BA"/>
        </w:rPr>
        <w:t>Zakon o državnoj službi</w:t>
      </w:r>
      <w:r w:rsidR="00832564" w:rsidRPr="007D3DD7">
        <w:rPr>
          <w:rStyle w:val="FootnoteReference"/>
          <w:rFonts w:asciiTheme="majorHAnsi" w:eastAsia="Times New Roman" w:hAnsiTheme="majorHAnsi" w:cs="Gravur Condensed"/>
          <w:sz w:val="22"/>
          <w:szCs w:val="22"/>
          <w:lang w:val="bs-Latn-BA"/>
        </w:rPr>
        <w:footnoteReference w:id="2"/>
      </w:r>
      <w:r w:rsidR="00832564" w:rsidRPr="007D3DD7">
        <w:rPr>
          <w:rFonts w:asciiTheme="majorHAnsi" w:eastAsia="Times New Roman" w:hAnsiTheme="majorHAnsi" w:cs="Gravur Condensed"/>
          <w:sz w:val="22"/>
          <w:szCs w:val="22"/>
          <w:lang w:val="bs-Latn-BA"/>
        </w:rPr>
        <w:t xml:space="preserve">, a </w:t>
      </w:r>
      <w:r w:rsidR="0009135F" w:rsidRPr="007D3DD7">
        <w:rPr>
          <w:rFonts w:asciiTheme="majorHAnsi" w:eastAsia="Times New Roman" w:hAnsiTheme="majorHAnsi" w:cs="Gravur Condensed"/>
          <w:sz w:val="22"/>
          <w:szCs w:val="22"/>
          <w:lang w:val="bs-Latn-BA"/>
        </w:rPr>
        <w:t xml:space="preserve">postoje indicije da se </w:t>
      </w:r>
      <w:r w:rsidR="00832564" w:rsidRPr="007D3DD7">
        <w:rPr>
          <w:rFonts w:asciiTheme="majorHAnsi" w:eastAsia="Times New Roman" w:hAnsiTheme="majorHAnsi" w:cs="Gravur Condensed"/>
          <w:sz w:val="22"/>
          <w:szCs w:val="22"/>
          <w:lang w:val="bs-Latn-BA"/>
        </w:rPr>
        <w:t>slič</w:t>
      </w:r>
      <w:r w:rsidR="0009135F" w:rsidRPr="007D3DD7">
        <w:rPr>
          <w:rFonts w:asciiTheme="majorHAnsi" w:eastAsia="Times New Roman" w:hAnsiTheme="majorHAnsi" w:cs="Gravur Condensed"/>
          <w:sz w:val="22"/>
          <w:szCs w:val="22"/>
          <w:lang w:val="bs-Latn-BA"/>
        </w:rPr>
        <w:t xml:space="preserve">an scenario priprema </w:t>
      </w:r>
      <w:r w:rsidR="00832564" w:rsidRPr="007D3DD7">
        <w:rPr>
          <w:rFonts w:asciiTheme="majorHAnsi" w:eastAsia="Times New Roman" w:hAnsiTheme="majorHAnsi" w:cs="Gravur Condensed"/>
          <w:sz w:val="22"/>
          <w:szCs w:val="22"/>
          <w:lang w:val="bs-Latn-BA"/>
        </w:rPr>
        <w:t xml:space="preserve">i na državnom nivou kao i u RS-u. </w:t>
      </w:r>
    </w:p>
    <w:p w:rsidR="00832564" w:rsidRPr="007D3DD7" w:rsidRDefault="00832564" w:rsidP="00976929">
      <w:pPr>
        <w:autoSpaceDE w:val="0"/>
        <w:autoSpaceDN w:val="0"/>
        <w:adjustRightInd w:val="0"/>
        <w:spacing w:before="60" w:after="60"/>
        <w:jc w:val="both"/>
        <w:rPr>
          <w:rFonts w:asciiTheme="majorHAnsi" w:eastAsia="Times New Roman" w:hAnsiTheme="majorHAnsi" w:cs="Gravur Condensed"/>
          <w:sz w:val="22"/>
          <w:szCs w:val="22"/>
          <w:lang w:val="bs-Latn-BA"/>
        </w:rPr>
      </w:pPr>
    </w:p>
    <w:p w:rsidR="0009135F" w:rsidRPr="007D3DD7" w:rsidRDefault="00832564" w:rsidP="00976929">
      <w:pPr>
        <w:autoSpaceDE w:val="0"/>
        <w:autoSpaceDN w:val="0"/>
        <w:adjustRightInd w:val="0"/>
        <w:spacing w:before="60" w:after="60"/>
        <w:jc w:val="both"/>
        <w:rPr>
          <w:rFonts w:asciiTheme="majorHAnsi" w:eastAsia="Times New Roman" w:hAnsiTheme="majorHAnsi" w:cs="Gravur Condensed"/>
          <w:sz w:val="22"/>
          <w:szCs w:val="22"/>
          <w:lang w:val="bs-Latn-BA"/>
        </w:rPr>
      </w:pPr>
      <w:r w:rsidRPr="007D3DD7">
        <w:rPr>
          <w:rFonts w:asciiTheme="majorHAnsi" w:eastAsia="Times New Roman" w:hAnsiTheme="majorHAnsi" w:cs="Gravur Condensed"/>
          <w:sz w:val="22"/>
          <w:szCs w:val="22"/>
          <w:lang w:val="bs-Latn-BA"/>
        </w:rPr>
        <w:t xml:space="preserve">U najkraćem, izmjene i dopune ZDS FBiH dokidaju postojanje kategorije 'rukovodećih državnih službenika' (i.e. </w:t>
      </w:r>
      <w:r w:rsidR="00967C6E" w:rsidRPr="007D3DD7">
        <w:rPr>
          <w:rFonts w:asciiTheme="majorHAnsi" w:eastAsia="Times New Roman" w:hAnsiTheme="majorHAnsi" w:cs="Gravur Condensed"/>
          <w:sz w:val="22"/>
          <w:szCs w:val="22"/>
          <w:lang w:val="bs-Latn-BA"/>
        </w:rPr>
        <w:t xml:space="preserve">na osnovu izmjena člana 11a ZDS FBiH, </w:t>
      </w:r>
      <w:r w:rsidRPr="007D3DD7">
        <w:rPr>
          <w:rFonts w:asciiTheme="majorHAnsi" w:eastAsia="Times New Roman" w:hAnsiTheme="majorHAnsi" w:cs="Gravur Condensed"/>
          <w:sz w:val="22"/>
          <w:szCs w:val="22"/>
          <w:lang w:val="bs-Latn-BA"/>
        </w:rPr>
        <w:t xml:space="preserve">sekretari </w:t>
      </w:r>
      <w:r w:rsidR="00BB062E" w:rsidRPr="007D3DD7">
        <w:rPr>
          <w:rFonts w:asciiTheme="majorHAnsi" w:eastAsia="Times New Roman" w:hAnsiTheme="majorHAnsi" w:cs="Gravur Condensed"/>
          <w:sz w:val="22"/>
          <w:szCs w:val="22"/>
          <w:lang w:val="bs-Latn-BA"/>
        </w:rPr>
        <w:t xml:space="preserve">organa </w:t>
      </w:r>
      <w:r w:rsidRPr="007D3DD7">
        <w:rPr>
          <w:rFonts w:asciiTheme="majorHAnsi" w:eastAsia="Times New Roman" w:hAnsiTheme="majorHAnsi" w:cs="Gravur Condensed"/>
          <w:sz w:val="22"/>
          <w:szCs w:val="22"/>
          <w:lang w:val="bs-Latn-BA"/>
        </w:rPr>
        <w:t>uprav</w:t>
      </w:r>
      <w:r w:rsidR="00BB062E" w:rsidRPr="007D3DD7">
        <w:rPr>
          <w:rFonts w:asciiTheme="majorHAnsi" w:eastAsia="Times New Roman" w:hAnsiTheme="majorHAnsi" w:cs="Gravur Condensed"/>
          <w:sz w:val="22"/>
          <w:szCs w:val="22"/>
          <w:lang w:val="bs-Latn-BA"/>
        </w:rPr>
        <w:t>e</w:t>
      </w:r>
      <w:r w:rsidRPr="007D3DD7">
        <w:rPr>
          <w:rFonts w:asciiTheme="majorHAnsi" w:eastAsia="Times New Roman" w:hAnsiTheme="majorHAnsi" w:cs="Gravur Condensed"/>
          <w:sz w:val="22"/>
          <w:szCs w:val="22"/>
          <w:lang w:val="bs-Latn-BA"/>
        </w:rPr>
        <w:t xml:space="preserve">, pomoćnici rukovodilaca </w:t>
      </w:r>
      <w:r w:rsidR="00BB062E" w:rsidRPr="007D3DD7">
        <w:rPr>
          <w:rFonts w:asciiTheme="majorHAnsi" w:eastAsia="Times New Roman" w:hAnsiTheme="majorHAnsi" w:cs="Gravur Condensed"/>
          <w:sz w:val="22"/>
          <w:szCs w:val="22"/>
          <w:lang w:val="bs-Latn-BA"/>
        </w:rPr>
        <w:t>organa uprave i glavni inspektori</w:t>
      </w:r>
      <w:r w:rsidR="00967C6E" w:rsidRPr="007D3DD7">
        <w:rPr>
          <w:rFonts w:asciiTheme="majorHAnsi" w:eastAsia="Times New Roman" w:hAnsiTheme="majorHAnsi" w:cs="Gravur Condensed"/>
          <w:sz w:val="22"/>
          <w:szCs w:val="22"/>
          <w:lang w:val="bs-Latn-BA"/>
        </w:rPr>
        <w:t xml:space="preserve"> prestaju biti državni službenici</w:t>
      </w:r>
      <w:r w:rsidR="00BB062E" w:rsidRPr="007D3DD7">
        <w:rPr>
          <w:rFonts w:asciiTheme="majorHAnsi" w:eastAsia="Times New Roman" w:hAnsiTheme="majorHAnsi" w:cs="Gravur Condensed"/>
          <w:sz w:val="22"/>
          <w:szCs w:val="22"/>
          <w:lang w:val="bs-Latn-BA"/>
        </w:rPr>
        <w:t xml:space="preserve">), mada </w:t>
      </w:r>
      <w:r w:rsidR="00741076" w:rsidRPr="007D3DD7">
        <w:rPr>
          <w:rFonts w:asciiTheme="majorHAnsi" w:eastAsia="Times New Roman" w:hAnsiTheme="majorHAnsi" w:cs="Gravur Condensed"/>
          <w:sz w:val="22"/>
          <w:szCs w:val="22"/>
          <w:lang w:val="bs-Latn-BA"/>
        </w:rPr>
        <w:t xml:space="preserve">ova </w:t>
      </w:r>
      <w:r w:rsidR="00BB062E" w:rsidRPr="007D3DD7">
        <w:rPr>
          <w:rFonts w:asciiTheme="majorHAnsi" w:eastAsia="Times New Roman" w:hAnsiTheme="majorHAnsi" w:cs="Gravur Condensed"/>
          <w:sz w:val="22"/>
          <w:szCs w:val="22"/>
          <w:lang w:val="bs-Latn-BA"/>
        </w:rPr>
        <w:t>radna mjesta ostaju u sistemu uprave</w:t>
      </w:r>
      <w:r w:rsidR="00741076" w:rsidRPr="007D3DD7">
        <w:rPr>
          <w:rFonts w:asciiTheme="majorHAnsi" w:eastAsia="Times New Roman" w:hAnsiTheme="majorHAnsi" w:cs="Gravur Condensed"/>
          <w:sz w:val="22"/>
          <w:szCs w:val="22"/>
          <w:lang w:val="bs-Latn-BA"/>
        </w:rPr>
        <w:t xml:space="preserve">. </w:t>
      </w:r>
      <w:r w:rsidR="0009135F" w:rsidRPr="007D3DD7">
        <w:rPr>
          <w:rFonts w:asciiTheme="majorHAnsi" w:eastAsia="Times New Roman" w:hAnsiTheme="majorHAnsi" w:cs="Gravur Condensed"/>
          <w:sz w:val="22"/>
          <w:szCs w:val="22"/>
          <w:lang w:val="bs-Latn-BA"/>
        </w:rPr>
        <w:t xml:space="preserve">Na ovaj način uprava Federacije BiH bi se mogla uvećati za nekih 250-300 ljudi, što prijeti da u potpunosti diskreditira najave iz dokumenta Reformska agenda o potrebi stvaranja ekonomičnije javne uprave. </w:t>
      </w:r>
    </w:p>
    <w:p w:rsidR="0009135F" w:rsidRPr="007D3DD7" w:rsidRDefault="0009135F" w:rsidP="00976929">
      <w:pPr>
        <w:autoSpaceDE w:val="0"/>
        <w:autoSpaceDN w:val="0"/>
        <w:adjustRightInd w:val="0"/>
        <w:spacing w:before="60" w:after="60"/>
        <w:jc w:val="both"/>
        <w:rPr>
          <w:rFonts w:asciiTheme="majorHAnsi" w:eastAsia="Times New Roman" w:hAnsiTheme="majorHAnsi" w:cs="Gravur Condensed"/>
          <w:sz w:val="22"/>
          <w:szCs w:val="22"/>
          <w:lang w:val="bs-Latn-BA"/>
        </w:rPr>
      </w:pPr>
    </w:p>
    <w:p w:rsidR="00E35771" w:rsidRPr="007D3DD7" w:rsidRDefault="00741076" w:rsidP="00976929">
      <w:pPr>
        <w:autoSpaceDE w:val="0"/>
        <w:autoSpaceDN w:val="0"/>
        <w:adjustRightInd w:val="0"/>
        <w:spacing w:before="60" w:after="60"/>
        <w:jc w:val="both"/>
        <w:rPr>
          <w:rFonts w:asciiTheme="majorHAnsi" w:eastAsia="Times New Roman" w:hAnsiTheme="majorHAnsi" w:cs="Gravur Condensed"/>
          <w:sz w:val="22"/>
          <w:szCs w:val="22"/>
          <w:lang w:val="bs-Latn-BA"/>
        </w:rPr>
      </w:pPr>
      <w:r w:rsidRPr="007D3DD7">
        <w:rPr>
          <w:rFonts w:asciiTheme="majorHAnsi" w:eastAsia="Times New Roman" w:hAnsiTheme="majorHAnsi" w:cs="Gravur Condensed"/>
          <w:sz w:val="22"/>
          <w:szCs w:val="22"/>
          <w:lang w:val="bs-Latn-BA"/>
        </w:rPr>
        <w:t>Inače, zvanični naziv osoba iz člana 11a ZDS FBiH je 'lica koja nisu državni službenici'</w:t>
      </w:r>
      <w:r w:rsidR="00967C6E" w:rsidRPr="007D3DD7">
        <w:rPr>
          <w:rFonts w:asciiTheme="majorHAnsi" w:eastAsia="Times New Roman" w:hAnsiTheme="majorHAnsi" w:cs="Gravur Condensed"/>
          <w:sz w:val="22"/>
          <w:szCs w:val="22"/>
          <w:lang w:val="bs-Latn-BA"/>
        </w:rPr>
        <w:t xml:space="preserve"> što je svojevrstan kuriozitet</w:t>
      </w:r>
      <w:r w:rsidR="00E35771" w:rsidRPr="007D3DD7">
        <w:rPr>
          <w:rFonts w:asciiTheme="majorHAnsi" w:eastAsia="Times New Roman" w:hAnsiTheme="majorHAnsi" w:cs="Gravur Condensed"/>
          <w:sz w:val="22"/>
          <w:szCs w:val="22"/>
          <w:lang w:val="bs-Latn-BA"/>
        </w:rPr>
        <w:t xml:space="preserve"> kad je uprava u pitanju. Naime, definicije pojmova u upravi u pravilu govore o tome šta određeni pojam 'jeste'</w:t>
      </w:r>
      <w:r w:rsidR="00967C6E" w:rsidRPr="007D3DD7">
        <w:rPr>
          <w:rFonts w:asciiTheme="majorHAnsi" w:eastAsia="Times New Roman" w:hAnsiTheme="majorHAnsi" w:cs="Gravur Condensed"/>
          <w:sz w:val="22"/>
          <w:szCs w:val="22"/>
          <w:lang w:val="bs-Latn-BA"/>
        </w:rPr>
        <w:t xml:space="preserve">, </w:t>
      </w:r>
      <w:r w:rsidR="00E35771" w:rsidRPr="007D3DD7">
        <w:rPr>
          <w:rFonts w:asciiTheme="majorHAnsi" w:eastAsia="Times New Roman" w:hAnsiTheme="majorHAnsi" w:cs="Gravur Condensed"/>
          <w:sz w:val="22"/>
          <w:szCs w:val="22"/>
          <w:lang w:val="bs-Latn-BA"/>
        </w:rPr>
        <w:t xml:space="preserve">a ne šta on 'nije'. Upotreba takozvane negativne definicije u ovom slučaju ne daje odgovor na pitanje kojoj kategoriji zaposlenih pripadaju lica koja nisu državni službenici. </w:t>
      </w:r>
    </w:p>
    <w:p w:rsidR="00E35771" w:rsidRPr="007D3DD7" w:rsidRDefault="00E35771" w:rsidP="00976929">
      <w:pPr>
        <w:autoSpaceDE w:val="0"/>
        <w:autoSpaceDN w:val="0"/>
        <w:adjustRightInd w:val="0"/>
        <w:spacing w:before="60" w:after="60"/>
        <w:jc w:val="both"/>
        <w:rPr>
          <w:rFonts w:asciiTheme="majorHAnsi" w:eastAsia="Times New Roman" w:hAnsiTheme="majorHAnsi" w:cs="Gravur Condensed"/>
          <w:sz w:val="22"/>
          <w:szCs w:val="22"/>
          <w:lang w:val="bs-Latn-BA"/>
        </w:rPr>
      </w:pPr>
    </w:p>
    <w:p w:rsidR="00BB062E" w:rsidRPr="007D3DD7" w:rsidRDefault="00584214" w:rsidP="00976929">
      <w:pPr>
        <w:autoSpaceDE w:val="0"/>
        <w:autoSpaceDN w:val="0"/>
        <w:adjustRightInd w:val="0"/>
        <w:spacing w:before="60" w:after="60"/>
        <w:jc w:val="both"/>
        <w:rPr>
          <w:rFonts w:asciiTheme="majorHAnsi" w:eastAsia="Times New Roman" w:hAnsiTheme="majorHAnsi" w:cs="Gravur Condensed"/>
          <w:sz w:val="22"/>
          <w:szCs w:val="22"/>
          <w:lang w:val="bs-Latn-BA"/>
        </w:rPr>
      </w:pPr>
      <w:r w:rsidRPr="007D3DD7">
        <w:rPr>
          <w:rFonts w:asciiTheme="majorHAnsi" w:eastAsia="Times New Roman" w:hAnsiTheme="majorHAnsi" w:cs="Gravur Condensed"/>
          <w:sz w:val="22"/>
          <w:szCs w:val="22"/>
          <w:lang w:val="bs-Latn-BA"/>
        </w:rPr>
        <w:t>Što se tiče radno-pravnog statusa</w:t>
      </w:r>
      <w:r w:rsidR="00BB062E" w:rsidRPr="007D3DD7">
        <w:rPr>
          <w:rFonts w:asciiTheme="majorHAnsi" w:eastAsia="Times New Roman" w:hAnsiTheme="majorHAnsi" w:cs="Gravur Condensed"/>
          <w:sz w:val="22"/>
          <w:szCs w:val="22"/>
          <w:lang w:val="bs-Latn-BA"/>
        </w:rPr>
        <w:t xml:space="preserve"> </w:t>
      </w:r>
      <w:r w:rsidR="00E35771" w:rsidRPr="007D3DD7">
        <w:rPr>
          <w:rFonts w:asciiTheme="majorHAnsi" w:eastAsia="Times New Roman" w:hAnsiTheme="majorHAnsi" w:cs="Gravur Condensed"/>
          <w:sz w:val="22"/>
          <w:szCs w:val="22"/>
          <w:lang w:val="bs-Latn-BA"/>
        </w:rPr>
        <w:t xml:space="preserve">'lica koja nisu državni službenici' </w:t>
      </w:r>
      <w:r w:rsidRPr="007D3DD7">
        <w:rPr>
          <w:rFonts w:asciiTheme="majorHAnsi" w:eastAsia="Times New Roman" w:hAnsiTheme="majorHAnsi" w:cs="Gravur Condensed"/>
          <w:sz w:val="22"/>
          <w:szCs w:val="22"/>
          <w:lang w:val="bs-Latn-BA"/>
        </w:rPr>
        <w:t xml:space="preserve">njihov mandat je </w:t>
      </w:r>
      <w:r w:rsidR="00BB062E" w:rsidRPr="007D3DD7">
        <w:rPr>
          <w:rFonts w:asciiTheme="majorHAnsi" w:eastAsia="Times New Roman" w:hAnsiTheme="majorHAnsi" w:cs="Gravur Condensed"/>
          <w:sz w:val="22"/>
          <w:szCs w:val="22"/>
          <w:lang w:val="bs-Latn-BA"/>
        </w:rPr>
        <w:t>podudaran sa mandatom rukovodi</w:t>
      </w:r>
      <w:r w:rsidR="00E35771" w:rsidRPr="007D3DD7">
        <w:rPr>
          <w:rFonts w:asciiTheme="majorHAnsi" w:eastAsia="Times New Roman" w:hAnsiTheme="majorHAnsi" w:cs="Gravur Condensed"/>
          <w:sz w:val="22"/>
          <w:szCs w:val="22"/>
          <w:lang w:val="bs-Latn-BA"/>
        </w:rPr>
        <w:t xml:space="preserve">laca </w:t>
      </w:r>
      <w:r w:rsidR="00BB062E" w:rsidRPr="007D3DD7">
        <w:rPr>
          <w:rFonts w:asciiTheme="majorHAnsi" w:eastAsia="Times New Roman" w:hAnsiTheme="majorHAnsi" w:cs="Gravur Condensed"/>
          <w:sz w:val="22"/>
          <w:szCs w:val="22"/>
          <w:lang w:val="bs-Latn-BA"/>
        </w:rPr>
        <w:t>organa uprave</w:t>
      </w:r>
      <w:r w:rsidR="00741076" w:rsidRPr="007D3DD7">
        <w:rPr>
          <w:rFonts w:asciiTheme="majorHAnsi" w:eastAsia="Times New Roman" w:hAnsiTheme="majorHAnsi" w:cs="Gravur Condensed"/>
          <w:sz w:val="22"/>
          <w:szCs w:val="22"/>
          <w:lang w:val="bs-Latn-BA"/>
        </w:rPr>
        <w:t xml:space="preserve">. </w:t>
      </w:r>
      <w:r w:rsidR="00B75BE8" w:rsidRPr="007D3DD7">
        <w:rPr>
          <w:rFonts w:asciiTheme="majorHAnsi" w:eastAsia="Times New Roman" w:hAnsiTheme="majorHAnsi" w:cs="Gravur Condensed"/>
          <w:sz w:val="22"/>
          <w:szCs w:val="22"/>
          <w:lang w:val="bs-Latn-BA"/>
        </w:rPr>
        <w:t>Ukoliko r</w:t>
      </w:r>
      <w:r w:rsidR="00BB062E" w:rsidRPr="007D3DD7">
        <w:rPr>
          <w:rFonts w:asciiTheme="majorHAnsi" w:eastAsia="Times New Roman" w:hAnsiTheme="majorHAnsi" w:cs="Gravur Condensed"/>
          <w:sz w:val="22"/>
          <w:szCs w:val="22"/>
          <w:lang w:val="bs-Latn-BA"/>
        </w:rPr>
        <w:t xml:space="preserve">ukovodilac </w:t>
      </w:r>
      <w:r w:rsidR="00B75BE8" w:rsidRPr="007D3DD7">
        <w:rPr>
          <w:rFonts w:asciiTheme="majorHAnsi" w:eastAsia="Times New Roman" w:hAnsiTheme="majorHAnsi" w:cs="Gravur Condensed"/>
          <w:sz w:val="22"/>
          <w:szCs w:val="22"/>
          <w:lang w:val="bs-Latn-BA"/>
        </w:rPr>
        <w:t xml:space="preserve">organa uprave želi da otpusti nekog od svojih pomoćnika ili </w:t>
      </w:r>
      <w:r w:rsidR="00741076" w:rsidRPr="007D3DD7">
        <w:rPr>
          <w:rFonts w:asciiTheme="majorHAnsi" w:eastAsia="Times New Roman" w:hAnsiTheme="majorHAnsi" w:cs="Gravur Condensed"/>
          <w:sz w:val="22"/>
          <w:szCs w:val="22"/>
          <w:lang w:val="bs-Latn-BA"/>
        </w:rPr>
        <w:t>glavnog inspektora</w:t>
      </w:r>
      <w:r w:rsidR="00E35771" w:rsidRPr="007D3DD7">
        <w:rPr>
          <w:rFonts w:asciiTheme="majorHAnsi" w:eastAsia="Times New Roman" w:hAnsiTheme="majorHAnsi" w:cs="Gravur Condensed"/>
          <w:sz w:val="22"/>
          <w:szCs w:val="22"/>
          <w:lang w:val="bs-Latn-BA"/>
        </w:rPr>
        <w:t xml:space="preserve">, </w:t>
      </w:r>
      <w:r w:rsidR="00B75BE8" w:rsidRPr="007D3DD7">
        <w:rPr>
          <w:rFonts w:asciiTheme="majorHAnsi" w:eastAsia="Times New Roman" w:hAnsiTheme="majorHAnsi" w:cs="Gravur Condensed"/>
          <w:sz w:val="22"/>
          <w:szCs w:val="22"/>
          <w:lang w:val="bs-Latn-BA"/>
        </w:rPr>
        <w:t>onda upu</w:t>
      </w:r>
      <w:r w:rsidRPr="007D3DD7">
        <w:rPr>
          <w:rFonts w:asciiTheme="majorHAnsi" w:eastAsia="Times New Roman" w:hAnsiTheme="majorHAnsi" w:cs="Gravur Condensed"/>
          <w:sz w:val="22"/>
          <w:szCs w:val="22"/>
          <w:lang w:val="bs-Latn-BA"/>
        </w:rPr>
        <w:t>ćuje</w:t>
      </w:r>
      <w:r w:rsidR="00B75BE8" w:rsidRPr="007D3DD7">
        <w:rPr>
          <w:rFonts w:asciiTheme="majorHAnsi" w:eastAsia="Times New Roman" w:hAnsiTheme="majorHAnsi" w:cs="Gravur Condensed"/>
          <w:sz w:val="22"/>
          <w:szCs w:val="22"/>
          <w:lang w:val="bs-Latn-BA"/>
        </w:rPr>
        <w:t xml:space="preserve"> Vladi FBiH zahtjev za razrješenje, dok u slučaju </w:t>
      </w:r>
      <w:r w:rsidR="00E35771" w:rsidRPr="007D3DD7">
        <w:rPr>
          <w:rFonts w:asciiTheme="majorHAnsi" w:eastAsia="Times New Roman" w:hAnsiTheme="majorHAnsi" w:cs="Gravur Condensed"/>
          <w:sz w:val="22"/>
          <w:szCs w:val="22"/>
          <w:lang w:val="bs-Latn-BA"/>
        </w:rPr>
        <w:t>sekretar</w:t>
      </w:r>
      <w:r w:rsidR="00B75BE8" w:rsidRPr="007D3DD7">
        <w:rPr>
          <w:rFonts w:asciiTheme="majorHAnsi" w:eastAsia="Times New Roman" w:hAnsiTheme="majorHAnsi" w:cs="Gravur Condensed"/>
          <w:sz w:val="22"/>
          <w:szCs w:val="22"/>
          <w:lang w:val="bs-Latn-BA"/>
        </w:rPr>
        <w:t>a</w:t>
      </w:r>
      <w:r w:rsidR="00741076" w:rsidRPr="007D3DD7">
        <w:rPr>
          <w:rFonts w:asciiTheme="majorHAnsi" w:eastAsia="Times New Roman" w:hAnsiTheme="majorHAnsi" w:cs="Gravur Condensed"/>
          <w:sz w:val="22"/>
          <w:szCs w:val="22"/>
          <w:lang w:val="bs-Latn-BA"/>
        </w:rPr>
        <w:t xml:space="preserve"> organa uprave</w:t>
      </w:r>
      <w:r w:rsidR="00B75BE8" w:rsidRPr="007D3DD7">
        <w:rPr>
          <w:rFonts w:asciiTheme="majorHAnsi" w:eastAsia="Times New Roman" w:hAnsiTheme="majorHAnsi" w:cs="Gravur Condensed"/>
          <w:sz w:val="22"/>
          <w:szCs w:val="22"/>
          <w:lang w:val="bs-Latn-BA"/>
        </w:rPr>
        <w:t xml:space="preserve"> odluku o razrješenju može donijeti samostalno. </w:t>
      </w:r>
    </w:p>
    <w:p w:rsidR="00BB062E" w:rsidRPr="007D3DD7" w:rsidRDefault="00BB062E" w:rsidP="00976929">
      <w:pPr>
        <w:autoSpaceDE w:val="0"/>
        <w:autoSpaceDN w:val="0"/>
        <w:adjustRightInd w:val="0"/>
        <w:spacing w:before="60" w:after="60"/>
        <w:jc w:val="both"/>
        <w:rPr>
          <w:rFonts w:asciiTheme="majorHAnsi" w:eastAsia="Times New Roman" w:hAnsiTheme="majorHAnsi" w:cs="Gravur Condensed"/>
          <w:sz w:val="22"/>
          <w:szCs w:val="22"/>
          <w:lang w:val="bs-Latn-BA"/>
        </w:rPr>
      </w:pPr>
    </w:p>
    <w:p w:rsidR="008D7B37" w:rsidRPr="007D3DD7" w:rsidRDefault="00584214" w:rsidP="00976929">
      <w:pPr>
        <w:autoSpaceDE w:val="0"/>
        <w:autoSpaceDN w:val="0"/>
        <w:adjustRightInd w:val="0"/>
        <w:spacing w:before="60" w:after="60"/>
        <w:jc w:val="both"/>
        <w:rPr>
          <w:rFonts w:asciiTheme="majorHAnsi" w:eastAsia="Times New Roman" w:hAnsiTheme="majorHAnsi" w:cs="Gravur Condensed"/>
          <w:sz w:val="22"/>
          <w:szCs w:val="22"/>
          <w:lang w:val="bs-Latn-BA"/>
        </w:rPr>
      </w:pPr>
      <w:r w:rsidRPr="007D3DD7">
        <w:rPr>
          <w:rFonts w:asciiTheme="majorHAnsi" w:eastAsia="Times New Roman" w:hAnsiTheme="majorHAnsi" w:cs="Gravur Condensed"/>
          <w:sz w:val="22"/>
          <w:szCs w:val="22"/>
          <w:lang w:val="bs-Latn-BA"/>
        </w:rPr>
        <w:t xml:space="preserve">Usvojene izmjene i dopune ZDS FBiH predstavljaju </w:t>
      </w:r>
      <w:r w:rsidR="00B75BE8" w:rsidRPr="007D3DD7">
        <w:rPr>
          <w:rFonts w:asciiTheme="majorHAnsi" w:eastAsia="Times New Roman" w:hAnsiTheme="majorHAnsi" w:cs="Gravur Condensed"/>
          <w:sz w:val="22"/>
          <w:szCs w:val="22"/>
          <w:lang w:val="bs-Latn-BA"/>
        </w:rPr>
        <w:t xml:space="preserve">eklatantan primjer slabljenja državne službe kroz </w:t>
      </w:r>
      <w:r w:rsidR="008D7B37" w:rsidRPr="007D3DD7">
        <w:rPr>
          <w:rFonts w:asciiTheme="majorHAnsi" w:eastAsia="Times New Roman" w:hAnsiTheme="majorHAnsi" w:cs="Gravur Condensed"/>
          <w:sz w:val="22"/>
          <w:szCs w:val="22"/>
          <w:lang w:val="bs-Latn-BA"/>
        </w:rPr>
        <w:t>otvorenu</w:t>
      </w:r>
      <w:r w:rsidR="00B75BE8" w:rsidRPr="007D3DD7">
        <w:rPr>
          <w:rFonts w:asciiTheme="majorHAnsi" w:eastAsia="Times New Roman" w:hAnsiTheme="majorHAnsi" w:cs="Gravur Condensed"/>
          <w:sz w:val="22"/>
          <w:szCs w:val="22"/>
          <w:lang w:val="bs-Latn-BA"/>
        </w:rPr>
        <w:t xml:space="preserve"> politizaciju</w:t>
      </w:r>
      <w:r w:rsidR="008D7B37" w:rsidRPr="007D3DD7">
        <w:rPr>
          <w:rFonts w:asciiTheme="majorHAnsi" w:eastAsia="Times New Roman" w:hAnsiTheme="majorHAnsi" w:cs="Gravur Condensed"/>
          <w:sz w:val="22"/>
          <w:szCs w:val="22"/>
          <w:lang w:val="bs-Latn-BA"/>
        </w:rPr>
        <w:t>, jer će se dosadašnji rukovodeći državni službenici ubuduće birati po pojednostavljenim procedurama koje rukovodiocu organa ostavljaju više nego dovoljno prostora da dovede pojedince koji mu najviše odgovaraju</w:t>
      </w:r>
      <w:r w:rsidR="00B75BE8" w:rsidRPr="007D3DD7">
        <w:rPr>
          <w:rFonts w:asciiTheme="majorHAnsi" w:eastAsia="Times New Roman" w:hAnsiTheme="majorHAnsi" w:cs="Gravur Condensed"/>
          <w:sz w:val="22"/>
          <w:szCs w:val="22"/>
          <w:lang w:val="bs-Latn-BA"/>
        </w:rPr>
        <w:t xml:space="preserve">. </w:t>
      </w:r>
      <w:r w:rsidR="007D0E6C" w:rsidRPr="007D3DD7">
        <w:rPr>
          <w:rFonts w:asciiTheme="majorHAnsi" w:eastAsia="Times New Roman" w:hAnsiTheme="majorHAnsi" w:cs="Gravur Condensed"/>
          <w:sz w:val="22"/>
          <w:szCs w:val="22"/>
          <w:lang w:val="bs-Latn-BA"/>
        </w:rPr>
        <w:t>Bez r</w:t>
      </w:r>
      <w:r w:rsidR="008D7B37" w:rsidRPr="007D3DD7">
        <w:rPr>
          <w:rFonts w:asciiTheme="majorHAnsi" w:eastAsia="Times New Roman" w:hAnsiTheme="majorHAnsi" w:cs="Gravur Condensed"/>
          <w:sz w:val="22"/>
          <w:szCs w:val="22"/>
          <w:lang w:val="bs-Latn-BA"/>
        </w:rPr>
        <w:t>ukovodeći</w:t>
      </w:r>
      <w:r w:rsidR="007D0E6C" w:rsidRPr="007D3DD7">
        <w:rPr>
          <w:rFonts w:asciiTheme="majorHAnsi" w:eastAsia="Times New Roman" w:hAnsiTheme="majorHAnsi" w:cs="Gravur Condensed"/>
          <w:sz w:val="22"/>
          <w:szCs w:val="22"/>
          <w:lang w:val="bs-Latn-BA"/>
        </w:rPr>
        <w:t>h</w:t>
      </w:r>
      <w:r w:rsidR="008D7B37" w:rsidRPr="007D3DD7">
        <w:rPr>
          <w:rFonts w:asciiTheme="majorHAnsi" w:eastAsia="Times New Roman" w:hAnsiTheme="majorHAnsi" w:cs="Gravur Condensed"/>
          <w:sz w:val="22"/>
          <w:szCs w:val="22"/>
          <w:lang w:val="bs-Latn-BA"/>
        </w:rPr>
        <w:t xml:space="preserve"> državni</w:t>
      </w:r>
      <w:r w:rsidR="007D0E6C" w:rsidRPr="007D3DD7">
        <w:rPr>
          <w:rFonts w:asciiTheme="majorHAnsi" w:eastAsia="Times New Roman" w:hAnsiTheme="majorHAnsi" w:cs="Gravur Condensed"/>
          <w:sz w:val="22"/>
          <w:szCs w:val="22"/>
          <w:lang w:val="bs-Latn-BA"/>
        </w:rPr>
        <w:t>h</w:t>
      </w:r>
      <w:r w:rsidR="008D7B37" w:rsidRPr="007D3DD7">
        <w:rPr>
          <w:rFonts w:asciiTheme="majorHAnsi" w:eastAsia="Times New Roman" w:hAnsiTheme="majorHAnsi" w:cs="Gravur Condensed"/>
          <w:sz w:val="22"/>
          <w:szCs w:val="22"/>
          <w:lang w:val="bs-Latn-BA"/>
        </w:rPr>
        <w:t xml:space="preserve"> službeni</w:t>
      </w:r>
      <w:r w:rsidR="007D0E6C" w:rsidRPr="007D3DD7">
        <w:rPr>
          <w:rFonts w:asciiTheme="majorHAnsi" w:eastAsia="Times New Roman" w:hAnsiTheme="majorHAnsi" w:cs="Gravur Condensed"/>
          <w:sz w:val="22"/>
          <w:szCs w:val="22"/>
          <w:lang w:val="bs-Latn-BA"/>
        </w:rPr>
        <w:t>ka, odabranih kroz konkurentsku proceduru na bazi principa meritornosti, ugroženi su stabilnost i kontinuitet</w:t>
      </w:r>
      <w:r w:rsidR="008D7B37" w:rsidRPr="007D3DD7">
        <w:rPr>
          <w:rFonts w:asciiTheme="majorHAnsi" w:eastAsia="Times New Roman" w:hAnsiTheme="majorHAnsi" w:cs="Gravur Condensed"/>
          <w:sz w:val="22"/>
          <w:szCs w:val="22"/>
          <w:lang w:val="bs-Latn-BA"/>
        </w:rPr>
        <w:t xml:space="preserve"> rada organa uprave naročito u situacijama </w:t>
      </w:r>
      <w:r w:rsidRPr="007D3DD7">
        <w:rPr>
          <w:rFonts w:asciiTheme="majorHAnsi" w:eastAsia="Times New Roman" w:hAnsiTheme="majorHAnsi" w:cs="Gravur Condensed"/>
          <w:sz w:val="22"/>
          <w:szCs w:val="22"/>
          <w:lang w:val="bs-Latn-BA"/>
        </w:rPr>
        <w:t>višemjesečne krize u formiranju</w:t>
      </w:r>
      <w:r w:rsidR="008D7B37" w:rsidRPr="007D3DD7">
        <w:rPr>
          <w:rFonts w:asciiTheme="majorHAnsi" w:eastAsia="Times New Roman" w:hAnsiTheme="majorHAnsi" w:cs="Gravur Condensed"/>
          <w:sz w:val="22"/>
          <w:szCs w:val="22"/>
          <w:lang w:val="bs-Latn-BA"/>
        </w:rPr>
        <w:t xml:space="preserve"> vlasti. </w:t>
      </w:r>
      <w:r w:rsidR="00B75BE8" w:rsidRPr="007D3DD7">
        <w:rPr>
          <w:rFonts w:asciiTheme="majorHAnsi" w:eastAsia="Times New Roman" w:hAnsiTheme="majorHAnsi" w:cs="Gravur Condensed"/>
          <w:sz w:val="22"/>
          <w:szCs w:val="22"/>
          <w:lang w:val="bs-Latn-BA"/>
        </w:rPr>
        <w:t>Na ovo su ukazivali zvaničnici EU iz Brisela</w:t>
      </w:r>
      <w:r w:rsidR="00B75BE8" w:rsidRPr="007D3DD7">
        <w:rPr>
          <w:rStyle w:val="FootnoteReference"/>
          <w:rFonts w:asciiTheme="majorHAnsi" w:eastAsia="Times New Roman" w:hAnsiTheme="majorHAnsi" w:cs="Gravur Condensed"/>
          <w:sz w:val="22"/>
          <w:szCs w:val="22"/>
          <w:lang w:val="bs-Latn-BA"/>
        </w:rPr>
        <w:footnoteReference w:id="3"/>
      </w:r>
      <w:r w:rsidR="00B75BE8" w:rsidRPr="007D3DD7">
        <w:rPr>
          <w:rFonts w:asciiTheme="majorHAnsi" w:eastAsia="Times New Roman" w:hAnsiTheme="majorHAnsi" w:cs="Gravur Condensed"/>
          <w:sz w:val="22"/>
          <w:szCs w:val="22"/>
          <w:lang w:val="bs-Latn-BA"/>
        </w:rPr>
        <w:t xml:space="preserve">, </w:t>
      </w:r>
      <w:r w:rsidR="00BB062E" w:rsidRPr="007D3DD7">
        <w:rPr>
          <w:rFonts w:asciiTheme="majorHAnsi" w:eastAsia="Times New Roman" w:hAnsiTheme="majorHAnsi" w:cs="Gravur Condensed"/>
          <w:sz w:val="22"/>
          <w:szCs w:val="22"/>
          <w:lang w:val="bs-Latn-BA"/>
        </w:rPr>
        <w:t xml:space="preserve">ali </w:t>
      </w:r>
      <w:r w:rsidR="008D7B37" w:rsidRPr="007D3DD7">
        <w:rPr>
          <w:rFonts w:asciiTheme="majorHAnsi" w:eastAsia="Times New Roman" w:hAnsiTheme="majorHAnsi" w:cs="Gravur Condensed"/>
          <w:sz w:val="22"/>
          <w:szCs w:val="22"/>
          <w:lang w:val="bs-Latn-BA"/>
        </w:rPr>
        <w:t xml:space="preserve">je vladajuća većina ipak izglasala sporne izmjene i dopune ZDS FBiH. </w:t>
      </w:r>
    </w:p>
    <w:p w:rsidR="00976929" w:rsidRPr="007D3DD7" w:rsidRDefault="007D0E6C" w:rsidP="00976929">
      <w:pPr>
        <w:tabs>
          <w:tab w:val="left" w:pos="0"/>
        </w:tabs>
        <w:spacing w:before="60" w:after="60"/>
        <w:jc w:val="both"/>
        <w:rPr>
          <w:rFonts w:asciiTheme="majorHAnsi" w:hAnsiTheme="majorHAnsi" w:cs="Tahoma"/>
          <w:sz w:val="22"/>
          <w:szCs w:val="22"/>
          <w:lang w:val="bs-Latn-BA"/>
        </w:rPr>
      </w:pPr>
      <w:r w:rsidRPr="007D3DD7">
        <w:rPr>
          <w:rFonts w:asciiTheme="majorHAnsi" w:hAnsiTheme="majorHAnsi" w:cs="Tahoma"/>
          <w:sz w:val="22"/>
          <w:szCs w:val="22"/>
          <w:lang w:val="bs-Latn-BA"/>
        </w:rPr>
        <w:t>Ostavljajući za trenutak štetnost rješenja donešenih na nivou FBiH, treba istaći da p</w:t>
      </w:r>
      <w:r w:rsidR="00976929" w:rsidRPr="007D3DD7">
        <w:rPr>
          <w:rFonts w:asciiTheme="majorHAnsi" w:hAnsiTheme="majorHAnsi" w:cs="Tahoma"/>
          <w:sz w:val="22"/>
          <w:szCs w:val="22"/>
          <w:lang w:val="bs-Latn-BA"/>
        </w:rPr>
        <w:t xml:space="preserve">ostoji </w:t>
      </w:r>
      <w:r w:rsidRPr="007D3DD7">
        <w:rPr>
          <w:rFonts w:asciiTheme="majorHAnsi" w:hAnsiTheme="majorHAnsi" w:cs="Tahoma"/>
          <w:sz w:val="22"/>
          <w:szCs w:val="22"/>
          <w:lang w:val="bs-Latn-BA"/>
        </w:rPr>
        <w:t xml:space="preserve">i </w:t>
      </w:r>
      <w:r w:rsidR="00976929" w:rsidRPr="007D3DD7">
        <w:rPr>
          <w:rFonts w:asciiTheme="majorHAnsi" w:hAnsiTheme="majorHAnsi" w:cs="Tahoma"/>
          <w:sz w:val="22"/>
          <w:szCs w:val="22"/>
          <w:lang w:val="bs-Latn-BA"/>
        </w:rPr>
        <w:t>potreba i prostor da se procedure prijema u državnu službu unaprijede na svim nivoima. P</w:t>
      </w:r>
      <w:r w:rsidR="002C525C" w:rsidRPr="007D3DD7">
        <w:rPr>
          <w:rFonts w:asciiTheme="majorHAnsi" w:hAnsiTheme="majorHAnsi" w:cs="Tahoma"/>
          <w:sz w:val="22"/>
          <w:szCs w:val="22"/>
          <w:lang w:val="bs-Latn-BA"/>
        </w:rPr>
        <w:t xml:space="preserve">raksa regrutiranja i selekcije </w:t>
      </w:r>
      <w:r w:rsidR="00976929" w:rsidRPr="007D3DD7">
        <w:rPr>
          <w:rFonts w:asciiTheme="majorHAnsi" w:hAnsiTheme="majorHAnsi" w:cs="Tahoma"/>
          <w:sz w:val="22"/>
          <w:szCs w:val="22"/>
          <w:lang w:val="bs-Latn-BA"/>
        </w:rPr>
        <w:t>još uvijek se pretjerano oslanja na formaln</w:t>
      </w:r>
      <w:r w:rsidRPr="007D3DD7">
        <w:rPr>
          <w:rFonts w:asciiTheme="majorHAnsi" w:hAnsiTheme="majorHAnsi" w:cs="Tahoma"/>
          <w:sz w:val="22"/>
          <w:szCs w:val="22"/>
          <w:lang w:val="bs-Latn-BA"/>
        </w:rPr>
        <w:t>e kvalifikacije i godine radnog iskustva</w:t>
      </w:r>
      <w:r w:rsidR="00976929" w:rsidRPr="007D3DD7">
        <w:rPr>
          <w:rFonts w:asciiTheme="majorHAnsi" w:hAnsiTheme="majorHAnsi" w:cs="Tahoma"/>
          <w:sz w:val="22"/>
          <w:szCs w:val="22"/>
          <w:lang w:val="bs-Latn-BA"/>
        </w:rPr>
        <w:t>, dok se istodobno malo p</w:t>
      </w:r>
      <w:r w:rsidRPr="007D3DD7">
        <w:rPr>
          <w:rFonts w:asciiTheme="majorHAnsi" w:hAnsiTheme="majorHAnsi" w:cs="Tahoma"/>
          <w:sz w:val="22"/>
          <w:szCs w:val="22"/>
          <w:lang w:val="bs-Latn-BA"/>
        </w:rPr>
        <w:t xml:space="preserve">ažnje </w:t>
      </w:r>
      <w:r w:rsidR="00976929" w:rsidRPr="007D3DD7">
        <w:rPr>
          <w:rFonts w:asciiTheme="majorHAnsi" w:hAnsiTheme="majorHAnsi" w:cs="Tahoma"/>
          <w:sz w:val="22"/>
          <w:szCs w:val="22"/>
          <w:lang w:val="bs-Latn-BA"/>
        </w:rPr>
        <w:t>poklanja stručnim sposobnostima (vještinama), odnosno kompetencijama</w:t>
      </w:r>
      <w:r w:rsidR="002C525C" w:rsidRPr="007D3DD7">
        <w:rPr>
          <w:rFonts w:asciiTheme="majorHAnsi" w:hAnsiTheme="majorHAnsi" w:cs="Tahoma"/>
          <w:sz w:val="22"/>
          <w:szCs w:val="22"/>
          <w:lang w:val="bs-Latn-BA"/>
        </w:rPr>
        <w:t>.</w:t>
      </w:r>
      <w:r w:rsidR="00976929" w:rsidRPr="007D3DD7">
        <w:rPr>
          <w:rFonts w:asciiTheme="majorHAnsi" w:hAnsiTheme="majorHAnsi" w:cs="Tahoma"/>
          <w:sz w:val="22"/>
          <w:szCs w:val="22"/>
          <w:lang w:val="bs-Latn-BA"/>
        </w:rPr>
        <w:t xml:space="preserve"> U ovoj oblasti HRM-a</w:t>
      </w:r>
      <w:r w:rsidR="00584214" w:rsidRPr="007D3DD7">
        <w:rPr>
          <w:rFonts w:asciiTheme="majorHAnsi" w:hAnsiTheme="majorHAnsi" w:cs="Tahoma"/>
          <w:sz w:val="22"/>
          <w:szCs w:val="22"/>
          <w:lang w:val="bs-Latn-BA"/>
        </w:rPr>
        <w:t>,</w:t>
      </w:r>
      <w:r w:rsidR="00976929" w:rsidRPr="007D3DD7">
        <w:rPr>
          <w:rFonts w:asciiTheme="majorHAnsi" w:hAnsiTheme="majorHAnsi" w:cs="Tahoma"/>
          <w:sz w:val="22"/>
          <w:szCs w:val="22"/>
          <w:lang w:val="bs-Latn-BA"/>
        </w:rPr>
        <w:t xml:space="preserve"> projekt EU</w:t>
      </w:r>
      <w:r w:rsidR="00584214" w:rsidRPr="007D3DD7">
        <w:rPr>
          <w:rFonts w:asciiTheme="majorHAnsi" w:hAnsiTheme="majorHAnsi" w:cs="Tahoma"/>
          <w:sz w:val="22"/>
          <w:szCs w:val="22"/>
          <w:lang w:val="bs-Latn-BA"/>
        </w:rPr>
        <w:t>-</w:t>
      </w:r>
      <w:r w:rsidR="00976929" w:rsidRPr="007D3DD7">
        <w:rPr>
          <w:rFonts w:asciiTheme="majorHAnsi" w:hAnsiTheme="majorHAnsi" w:cs="Tahoma"/>
          <w:sz w:val="22"/>
          <w:szCs w:val="22"/>
          <w:lang w:val="bs-Latn-BA"/>
        </w:rPr>
        <w:t xml:space="preserve">HRM je </w:t>
      </w:r>
      <w:r w:rsidRPr="007D3DD7">
        <w:rPr>
          <w:rFonts w:asciiTheme="majorHAnsi" w:hAnsiTheme="majorHAnsi" w:cs="Tahoma"/>
          <w:sz w:val="22"/>
          <w:szCs w:val="22"/>
          <w:lang w:val="bs-Latn-BA"/>
        </w:rPr>
        <w:t>ponudio konkretna rješenja</w:t>
      </w:r>
      <w:r w:rsidR="00976929" w:rsidRPr="007D3DD7">
        <w:rPr>
          <w:rFonts w:asciiTheme="majorHAnsi" w:hAnsiTheme="majorHAnsi" w:cs="Tahoma"/>
          <w:sz w:val="22"/>
          <w:szCs w:val="22"/>
          <w:lang w:val="bs-Latn-BA"/>
        </w:rPr>
        <w:t xml:space="preserve"> </w:t>
      </w:r>
      <w:r w:rsidR="002C525C" w:rsidRPr="007D3DD7">
        <w:rPr>
          <w:rFonts w:asciiTheme="majorHAnsi" w:hAnsiTheme="majorHAnsi" w:cs="Tahoma"/>
          <w:sz w:val="22"/>
          <w:szCs w:val="22"/>
          <w:lang w:val="bs-Latn-BA"/>
        </w:rPr>
        <w:t>bazirana na upotrebi</w:t>
      </w:r>
      <w:r w:rsidR="00976929" w:rsidRPr="007D3DD7">
        <w:rPr>
          <w:rFonts w:asciiTheme="majorHAnsi" w:hAnsiTheme="majorHAnsi" w:cs="Tahoma"/>
          <w:sz w:val="22"/>
          <w:szCs w:val="22"/>
          <w:lang w:val="bs-Latn-BA"/>
        </w:rPr>
        <w:t xml:space="preserve"> </w:t>
      </w:r>
      <w:r w:rsidR="00976929" w:rsidRPr="007D3DD7">
        <w:rPr>
          <w:rFonts w:asciiTheme="majorHAnsi" w:hAnsiTheme="majorHAnsi" w:cs="Tahoma"/>
          <w:sz w:val="22"/>
          <w:szCs w:val="22"/>
          <w:lang w:val="bs-Latn-BA"/>
        </w:rPr>
        <w:lastRenderedPageBreak/>
        <w:t>kompetencija u procesu selekcije</w:t>
      </w:r>
      <w:r w:rsidR="002C525C" w:rsidRPr="007D3DD7">
        <w:rPr>
          <w:rFonts w:asciiTheme="majorHAnsi" w:hAnsiTheme="majorHAnsi" w:cs="Tahoma"/>
          <w:sz w:val="22"/>
          <w:szCs w:val="22"/>
          <w:lang w:val="bs-Latn-BA"/>
        </w:rPr>
        <w:t xml:space="preserve">. S tim u vezi, </w:t>
      </w:r>
      <w:r w:rsidR="00976929" w:rsidRPr="007D3DD7">
        <w:rPr>
          <w:rFonts w:asciiTheme="majorHAnsi" w:hAnsiTheme="majorHAnsi" w:cs="Tahoma"/>
          <w:sz w:val="22"/>
          <w:szCs w:val="22"/>
          <w:lang w:val="bs-Latn-BA"/>
        </w:rPr>
        <w:t xml:space="preserve">ADS BiH </w:t>
      </w:r>
      <w:r w:rsidR="002C525C" w:rsidRPr="007D3DD7">
        <w:rPr>
          <w:rFonts w:asciiTheme="majorHAnsi" w:hAnsiTheme="majorHAnsi" w:cs="Tahoma"/>
          <w:sz w:val="22"/>
          <w:szCs w:val="22"/>
          <w:lang w:val="bs-Latn-BA"/>
        </w:rPr>
        <w:t xml:space="preserve">je pripremio </w:t>
      </w:r>
      <w:r w:rsidR="00976929" w:rsidRPr="007D3DD7">
        <w:rPr>
          <w:rFonts w:asciiTheme="majorHAnsi" w:hAnsiTheme="majorHAnsi" w:cs="Tahoma"/>
          <w:sz w:val="22"/>
          <w:szCs w:val="22"/>
          <w:lang w:val="bs-Latn-BA"/>
        </w:rPr>
        <w:t xml:space="preserve">nacrt podzakonskog akta - </w:t>
      </w:r>
      <w:r w:rsidR="00976929" w:rsidRPr="007D3DD7">
        <w:rPr>
          <w:rFonts w:asciiTheme="majorHAnsi" w:hAnsiTheme="majorHAnsi" w:cs="Tahoma"/>
          <w:i/>
          <w:sz w:val="22"/>
          <w:szCs w:val="22"/>
          <w:lang w:val="bs-Latn-BA"/>
        </w:rPr>
        <w:t>Uputstvo o provođenju postupka zapošljavanja državnih službenika u institucijama BiH</w:t>
      </w:r>
      <w:r w:rsidR="00976929" w:rsidRPr="007D3DD7">
        <w:rPr>
          <w:rFonts w:asciiTheme="majorHAnsi" w:hAnsiTheme="majorHAnsi" w:cs="Tahoma"/>
          <w:sz w:val="22"/>
          <w:szCs w:val="22"/>
          <w:lang w:val="bs-Latn-BA"/>
        </w:rPr>
        <w:t xml:space="preserve"> koji </w:t>
      </w:r>
      <w:r w:rsidR="002C525C" w:rsidRPr="007D3DD7">
        <w:rPr>
          <w:rFonts w:asciiTheme="majorHAnsi" w:hAnsiTheme="majorHAnsi" w:cs="Tahoma"/>
          <w:sz w:val="22"/>
          <w:szCs w:val="22"/>
          <w:lang w:val="bs-Latn-BA"/>
        </w:rPr>
        <w:t xml:space="preserve">bi trebao </w:t>
      </w:r>
      <w:r w:rsidR="00976929" w:rsidRPr="007D3DD7">
        <w:rPr>
          <w:rFonts w:asciiTheme="majorHAnsi" w:hAnsiTheme="majorHAnsi" w:cs="Tahoma"/>
          <w:sz w:val="22"/>
          <w:szCs w:val="22"/>
          <w:lang w:val="bs-Latn-BA"/>
        </w:rPr>
        <w:t xml:space="preserve">stupiti na snagu u 2016. godini, a koji predviđa provjeru kompetencija u proceduri selekcije državnih službenika. </w:t>
      </w:r>
      <w:r w:rsidR="002C525C" w:rsidRPr="007D3DD7">
        <w:rPr>
          <w:rFonts w:asciiTheme="majorHAnsi" w:hAnsiTheme="majorHAnsi" w:cs="Tahoma"/>
          <w:sz w:val="22"/>
          <w:szCs w:val="22"/>
          <w:lang w:val="bs-Latn-BA"/>
        </w:rPr>
        <w:t xml:space="preserve">Inače, vrijedno je napomenuti da je uz pomoć </w:t>
      </w:r>
      <w:r w:rsidR="00584214" w:rsidRPr="007D3DD7">
        <w:rPr>
          <w:rFonts w:asciiTheme="majorHAnsi" w:hAnsiTheme="majorHAnsi" w:cs="Tahoma"/>
          <w:sz w:val="22"/>
          <w:szCs w:val="22"/>
          <w:lang w:val="bs-Latn-BA"/>
        </w:rPr>
        <w:t>EU-HRM</w:t>
      </w:r>
      <w:r w:rsidR="002C525C" w:rsidRPr="007D3DD7">
        <w:rPr>
          <w:rFonts w:asciiTheme="majorHAnsi" w:hAnsiTheme="majorHAnsi" w:cs="Tahoma"/>
          <w:sz w:val="22"/>
          <w:szCs w:val="22"/>
          <w:lang w:val="bs-Latn-BA"/>
        </w:rPr>
        <w:t xml:space="preserve"> projekta u</w:t>
      </w:r>
      <w:r w:rsidR="00976929" w:rsidRPr="007D3DD7">
        <w:rPr>
          <w:rFonts w:asciiTheme="majorHAnsi" w:hAnsiTheme="majorHAnsi" w:cs="Tahoma"/>
          <w:sz w:val="22"/>
          <w:szCs w:val="22"/>
          <w:lang w:val="bs-Latn-BA"/>
        </w:rPr>
        <w:t xml:space="preserve"> toku 2015. godine održa</w:t>
      </w:r>
      <w:r w:rsidR="002C525C" w:rsidRPr="007D3DD7">
        <w:rPr>
          <w:rFonts w:asciiTheme="majorHAnsi" w:hAnsiTheme="majorHAnsi" w:cs="Tahoma"/>
          <w:sz w:val="22"/>
          <w:szCs w:val="22"/>
          <w:lang w:val="bs-Latn-BA"/>
        </w:rPr>
        <w:t xml:space="preserve">no </w:t>
      </w:r>
      <w:r w:rsidR="00976929" w:rsidRPr="007D3DD7">
        <w:rPr>
          <w:rFonts w:asciiTheme="majorHAnsi" w:hAnsiTheme="majorHAnsi" w:cs="Tahoma"/>
          <w:sz w:val="22"/>
          <w:szCs w:val="22"/>
          <w:lang w:val="bs-Latn-BA"/>
        </w:rPr>
        <w:t>sedam</w:t>
      </w:r>
      <w:r w:rsidR="002C525C" w:rsidRPr="007D3DD7">
        <w:rPr>
          <w:rFonts w:asciiTheme="majorHAnsi" w:hAnsiTheme="majorHAnsi" w:cs="Tahoma"/>
          <w:sz w:val="22"/>
          <w:szCs w:val="22"/>
          <w:lang w:val="bs-Latn-BA"/>
        </w:rPr>
        <w:t xml:space="preserve"> obuka </w:t>
      </w:r>
      <w:r w:rsidR="00976929" w:rsidRPr="007D3DD7">
        <w:rPr>
          <w:rFonts w:asciiTheme="majorHAnsi" w:hAnsiTheme="majorHAnsi" w:cs="Tahoma"/>
          <w:sz w:val="22"/>
          <w:szCs w:val="22"/>
          <w:lang w:val="bs-Latn-BA"/>
        </w:rPr>
        <w:t>na temu korištenja okvira kompetencija u postupku zapošljavanja državnih službenika u institucijama BiH</w:t>
      </w:r>
      <w:r w:rsidR="00E36609" w:rsidRPr="007D3DD7">
        <w:rPr>
          <w:rFonts w:asciiTheme="majorHAnsi" w:hAnsiTheme="majorHAnsi" w:cs="Tahoma"/>
          <w:sz w:val="22"/>
          <w:szCs w:val="22"/>
          <w:lang w:val="bs-Latn-BA"/>
        </w:rPr>
        <w:t>, kroz koje</w:t>
      </w:r>
      <w:r w:rsidR="00976929" w:rsidRPr="007D3DD7">
        <w:rPr>
          <w:rFonts w:asciiTheme="majorHAnsi" w:hAnsiTheme="majorHAnsi" w:cs="Tahoma"/>
          <w:sz w:val="22"/>
          <w:szCs w:val="22"/>
          <w:lang w:val="bs-Latn-BA"/>
        </w:rPr>
        <w:t xml:space="preserve"> su prošli zaposleni u ADS BiH i 120 </w:t>
      </w:r>
      <w:r w:rsidR="002C525C" w:rsidRPr="007D3DD7">
        <w:rPr>
          <w:rFonts w:asciiTheme="majorHAnsi" w:hAnsiTheme="majorHAnsi" w:cs="Tahoma"/>
          <w:sz w:val="22"/>
          <w:szCs w:val="22"/>
          <w:lang w:val="bs-Latn-BA"/>
        </w:rPr>
        <w:t xml:space="preserve">nezavisnih </w:t>
      </w:r>
      <w:r w:rsidR="00976929" w:rsidRPr="007D3DD7">
        <w:rPr>
          <w:rFonts w:asciiTheme="majorHAnsi" w:hAnsiTheme="majorHAnsi" w:cs="Tahoma"/>
          <w:sz w:val="22"/>
          <w:szCs w:val="22"/>
          <w:lang w:val="bs-Latn-BA"/>
        </w:rPr>
        <w:t xml:space="preserve">eksperata koji se imenuju u </w:t>
      </w:r>
      <w:r w:rsidR="002C525C" w:rsidRPr="007D3DD7">
        <w:rPr>
          <w:rFonts w:asciiTheme="majorHAnsi" w:hAnsiTheme="majorHAnsi" w:cs="Tahoma"/>
          <w:sz w:val="22"/>
          <w:szCs w:val="22"/>
          <w:lang w:val="bs-Latn-BA"/>
        </w:rPr>
        <w:t>konkursne k</w:t>
      </w:r>
      <w:r w:rsidR="00976929" w:rsidRPr="007D3DD7">
        <w:rPr>
          <w:rFonts w:asciiTheme="majorHAnsi" w:hAnsiTheme="majorHAnsi" w:cs="Tahoma"/>
          <w:sz w:val="22"/>
          <w:szCs w:val="22"/>
          <w:lang w:val="bs-Latn-BA"/>
        </w:rPr>
        <w:t>omisije.</w:t>
      </w:r>
    </w:p>
    <w:p w:rsidR="00976929" w:rsidRPr="007D3DD7" w:rsidRDefault="00976929" w:rsidP="00976929">
      <w:pPr>
        <w:tabs>
          <w:tab w:val="left" w:pos="0"/>
        </w:tabs>
        <w:spacing w:before="60" w:after="60"/>
        <w:jc w:val="both"/>
        <w:rPr>
          <w:rFonts w:asciiTheme="majorHAnsi" w:hAnsiTheme="majorHAnsi" w:cs="Tahoma"/>
          <w:sz w:val="22"/>
          <w:szCs w:val="22"/>
          <w:lang w:val="bs-Latn-BA"/>
        </w:rPr>
      </w:pPr>
    </w:p>
    <w:p w:rsidR="00976929" w:rsidRPr="007D3DD7" w:rsidRDefault="00976929" w:rsidP="00976929">
      <w:pPr>
        <w:tabs>
          <w:tab w:val="left" w:pos="0"/>
        </w:tabs>
        <w:spacing w:before="60" w:after="60"/>
        <w:jc w:val="both"/>
        <w:rPr>
          <w:rFonts w:asciiTheme="majorHAnsi" w:hAnsiTheme="majorHAnsi" w:cs="Tahoma"/>
          <w:sz w:val="22"/>
          <w:szCs w:val="22"/>
          <w:lang w:val="bs-Latn-BA"/>
        </w:rPr>
      </w:pPr>
      <w:r w:rsidRPr="007D3DD7">
        <w:rPr>
          <w:rFonts w:asciiTheme="majorHAnsi" w:hAnsiTheme="majorHAnsi" w:cs="Tahoma"/>
          <w:sz w:val="22"/>
          <w:szCs w:val="22"/>
          <w:lang w:val="bs-Latn-BA"/>
        </w:rPr>
        <w:t>Projekt EU</w:t>
      </w:r>
      <w:r w:rsidR="00584214" w:rsidRPr="007D3DD7">
        <w:rPr>
          <w:rFonts w:asciiTheme="majorHAnsi" w:hAnsiTheme="majorHAnsi" w:cs="Tahoma"/>
          <w:sz w:val="22"/>
          <w:szCs w:val="22"/>
          <w:lang w:val="bs-Latn-BA"/>
        </w:rPr>
        <w:t>-</w:t>
      </w:r>
      <w:r w:rsidRPr="007D3DD7">
        <w:rPr>
          <w:rFonts w:asciiTheme="majorHAnsi" w:hAnsiTheme="majorHAnsi" w:cs="Tahoma"/>
          <w:sz w:val="22"/>
          <w:szCs w:val="22"/>
          <w:lang w:val="bs-Latn-BA"/>
        </w:rPr>
        <w:t xml:space="preserve">HRM je također pripremio </w:t>
      </w:r>
      <w:r w:rsidRPr="007D3DD7">
        <w:rPr>
          <w:rFonts w:asciiTheme="majorHAnsi" w:hAnsiTheme="majorHAnsi" w:cs="Tahoma"/>
          <w:i/>
          <w:sz w:val="22"/>
          <w:szCs w:val="22"/>
          <w:lang w:val="bs-Latn-BA"/>
        </w:rPr>
        <w:t>Koncept za vođenje ulaznog intervjua u proceduri javne konkurencije u republičkim organima uprave RS</w:t>
      </w:r>
      <w:r w:rsidRPr="007D3DD7">
        <w:rPr>
          <w:rFonts w:asciiTheme="majorHAnsi" w:hAnsiTheme="majorHAnsi" w:cs="Tahoma"/>
          <w:sz w:val="22"/>
          <w:szCs w:val="22"/>
          <w:lang w:val="bs-Latn-BA"/>
        </w:rPr>
        <w:t xml:space="preserve">, kojim se razrađuje način vođenja intervjua tokom procedure odabira. </w:t>
      </w:r>
      <w:r w:rsidR="006743DB" w:rsidRPr="007D3DD7">
        <w:rPr>
          <w:rFonts w:asciiTheme="majorHAnsi" w:hAnsiTheme="majorHAnsi" w:cs="Tahoma"/>
          <w:sz w:val="22"/>
          <w:szCs w:val="22"/>
          <w:lang w:val="bs-Latn-BA"/>
        </w:rPr>
        <w:t xml:space="preserve">I ovdje je naglasak dat na </w:t>
      </w:r>
      <w:r w:rsidRPr="007D3DD7">
        <w:rPr>
          <w:rFonts w:asciiTheme="majorHAnsi" w:hAnsiTheme="majorHAnsi" w:cs="Tahoma"/>
          <w:sz w:val="22"/>
          <w:szCs w:val="22"/>
          <w:lang w:val="bs-Latn-BA"/>
        </w:rPr>
        <w:t>struktu</w:t>
      </w:r>
      <w:r w:rsidR="00584214" w:rsidRPr="007D3DD7">
        <w:rPr>
          <w:rFonts w:asciiTheme="majorHAnsi" w:hAnsiTheme="majorHAnsi" w:cs="Tahoma"/>
          <w:sz w:val="22"/>
          <w:szCs w:val="22"/>
          <w:lang w:val="bs-Latn-BA"/>
        </w:rPr>
        <w:t>r</w:t>
      </w:r>
      <w:r w:rsidRPr="007D3DD7">
        <w:rPr>
          <w:rFonts w:asciiTheme="majorHAnsi" w:hAnsiTheme="majorHAnsi" w:cs="Tahoma"/>
          <w:sz w:val="22"/>
          <w:szCs w:val="22"/>
          <w:lang w:val="bs-Latn-BA"/>
        </w:rPr>
        <w:t>irani intervju koji se zasniva na novorazvijenom okviru kompetencija</w:t>
      </w:r>
      <w:r w:rsidR="006743DB" w:rsidRPr="007D3DD7">
        <w:rPr>
          <w:rFonts w:asciiTheme="majorHAnsi" w:hAnsiTheme="majorHAnsi" w:cs="Tahoma"/>
          <w:sz w:val="22"/>
          <w:szCs w:val="22"/>
          <w:lang w:val="bs-Latn-BA"/>
        </w:rPr>
        <w:t xml:space="preserve">. Ukoliko bi ova rješenja </w:t>
      </w:r>
      <w:r w:rsidR="00584214" w:rsidRPr="007D3DD7">
        <w:rPr>
          <w:rFonts w:asciiTheme="majorHAnsi" w:hAnsiTheme="majorHAnsi" w:cs="Tahoma"/>
          <w:sz w:val="22"/>
          <w:szCs w:val="22"/>
          <w:lang w:val="bs-Latn-BA"/>
        </w:rPr>
        <w:t xml:space="preserve">u </w:t>
      </w:r>
      <w:r w:rsidR="006743DB" w:rsidRPr="007D3DD7">
        <w:rPr>
          <w:rFonts w:asciiTheme="majorHAnsi" w:hAnsiTheme="majorHAnsi" w:cs="Tahoma"/>
          <w:sz w:val="22"/>
          <w:szCs w:val="22"/>
          <w:lang w:val="bs-Latn-BA"/>
        </w:rPr>
        <w:t xml:space="preserve">svom </w:t>
      </w:r>
      <w:r w:rsidR="00584214" w:rsidRPr="007D3DD7">
        <w:rPr>
          <w:rFonts w:asciiTheme="majorHAnsi" w:hAnsiTheme="majorHAnsi" w:cs="Tahoma"/>
          <w:sz w:val="22"/>
          <w:szCs w:val="22"/>
          <w:lang w:val="bs-Latn-BA"/>
        </w:rPr>
        <w:t xml:space="preserve">izvornom obliku </w:t>
      </w:r>
      <w:r w:rsidR="006743DB" w:rsidRPr="007D3DD7">
        <w:rPr>
          <w:rFonts w:asciiTheme="majorHAnsi" w:hAnsiTheme="majorHAnsi" w:cs="Tahoma"/>
          <w:sz w:val="22"/>
          <w:szCs w:val="22"/>
          <w:lang w:val="bs-Latn-BA"/>
        </w:rPr>
        <w:t xml:space="preserve">bila integrisana u adekvatne propise, to bi svakako bio pozitivan iskorak. </w:t>
      </w:r>
    </w:p>
    <w:p w:rsidR="00976929" w:rsidRPr="007D3DD7" w:rsidRDefault="00976929" w:rsidP="00976929">
      <w:pPr>
        <w:spacing w:before="60" w:after="60"/>
        <w:rPr>
          <w:rFonts w:asciiTheme="majorHAnsi" w:hAnsiTheme="majorHAnsi"/>
          <w:sz w:val="22"/>
          <w:szCs w:val="22"/>
          <w:lang w:val="bs-Latn-BA"/>
        </w:rPr>
      </w:pPr>
    </w:p>
    <w:p w:rsidR="00542A39" w:rsidRPr="007D3DD7" w:rsidRDefault="006743DB"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Što se tiče Distrikta Brčko, ostaje problematična praksa odabira </w:t>
      </w:r>
      <w:r w:rsidR="009D693D" w:rsidRPr="007D3DD7">
        <w:rPr>
          <w:rFonts w:asciiTheme="majorHAnsi" w:hAnsiTheme="majorHAnsi"/>
          <w:sz w:val="22"/>
          <w:szCs w:val="22"/>
          <w:lang w:val="bs-Latn-BA"/>
        </w:rPr>
        <w:t xml:space="preserve">kandidata na konkursima, </w:t>
      </w:r>
      <w:r w:rsidRPr="007D3DD7">
        <w:rPr>
          <w:rFonts w:asciiTheme="majorHAnsi" w:hAnsiTheme="majorHAnsi"/>
          <w:sz w:val="22"/>
          <w:szCs w:val="22"/>
          <w:lang w:val="bs-Latn-BA"/>
        </w:rPr>
        <w:t>jer o prijemu odlučuje tročlana komisija</w:t>
      </w:r>
      <w:r w:rsidR="00976929" w:rsidRPr="007D3DD7">
        <w:rPr>
          <w:rFonts w:asciiTheme="majorHAnsi" w:hAnsiTheme="majorHAnsi"/>
          <w:sz w:val="22"/>
          <w:szCs w:val="22"/>
          <w:lang w:val="bs-Latn-BA"/>
        </w:rPr>
        <w:t xml:space="preserve"> </w:t>
      </w:r>
      <w:r w:rsidRPr="007D3DD7">
        <w:rPr>
          <w:rFonts w:asciiTheme="majorHAnsi" w:hAnsiTheme="majorHAnsi"/>
          <w:sz w:val="22"/>
          <w:szCs w:val="22"/>
          <w:lang w:val="bs-Latn-BA"/>
        </w:rPr>
        <w:t xml:space="preserve">u kojoj učestvuju dva člana iz organa koji </w:t>
      </w:r>
      <w:r w:rsidR="00976929" w:rsidRPr="007D3DD7">
        <w:rPr>
          <w:rFonts w:asciiTheme="majorHAnsi" w:hAnsiTheme="majorHAnsi"/>
          <w:sz w:val="22"/>
          <w:szCs w:val="22"/>
          <w:lang w:val="bs-Latn-BA"/>
        </w:rPr>
        <w:t>vrši popunu</w:t>
      </w:r>
      <w:r w:rsidRPr="007D3DD7">
        <w:rPr>
          <w:rFonts w:asciiTheme="majorHAnsi" w:hAnsiTheme="majorHAnsi"/>
          <w:sz w:val="22"/>
          <w:szCs w:val="22"/>
          <w:lang w:val="bs-Latn-BA"/>
        </w:rPr>
        <w:t xml:space="preserve">. </w:t>
      </w:r>
      <w:r w:rsidR="009D693D" w:rsidRPr="007D3DD7">
        <w:rPr>
          <w:rFonts w:asciiTheme="majorHAnsi" w:hAnsiTheme="majorHAnsi"/>
          <w:sz w:val="22"/>
          <w:szCs w:val="22"/>
          <w:lang w:val="bs-Latn-BA"/>
        </w:rPr>
        <w:t>Na ovaj način rukovodilac organa (u čijoj je isključivoj nadležnosti imenovanje dva člana</w:t>
      </w:r>
      <w:r w:rsidR="00976929" w:rsidRPr="007D3DD7">
        <w:rPr>
          <w:rFonts w:asciiTheme="majorHAnsi" w:hAnsiTheme="majorHAnsi"/>
          <w:sz w:val="22"/>
          <w:szCs w:val="22"/>
          <w:lang w:val="bs-Latn-BA"/>
        </w:rPr>
        <w:t xml:space="preserve"> </w:t>
      </w:r>
      <w:r w:rsidR="009D693D" w:rsidRPr="007D3DD7">
        <w:rPr>
          <w:rFonts w:asciiTheme="majorHAnsi" w:hAnsiTheme="majorHAnsi"/>
          <w:sz w:val="22"/>
          <w:szCs w:val="22"/>
          <w:lang w:val="bs-Latn-BA"/>
        </w:rPr>
        <w:t>komisije) može vrlo lako da utiče na konačni izbor</w:t>
      </w:r>
      <w:r w:rsidR="00542A39" w:rsidRPr="007D3DD7">
        <w:rPr>
          <w:rFonts w:asciiTheme="majorHAnsi" w:hAnsiTheme="majorHAnsi"/>
          <w:sz w:val="22"/>
          <w:szCs w:val="22"/>
          <w:lang w:val="bs-Latn-BA"/>
        </w:rPr>
        <w:t xml:space="preserve"> kroz imenovanje 'provjerenih' osoba</w:t>
      </w:r>
      <w:r w:rsidR="009D693D" w:rsidRPr="007D3DD7">
        <w:rPr>
          <w:rFonts w:asciiTheme="majorHAnsi" w:hAnsiTheme="majorHAnsi"/>
          <w:sz w:val="22"/>
          <w:szCs w:val="22"/>
          <w:lang w:val="bs-Latn-BA"/>
        </w:rPr>
        <w:t xml:space="preserve">, što ostavlja prostor za sumnju da se i ovdje krije potencijalna manipulacija. Nažalost, u sjeni ove potencijalne manipulacije kod odabira kandidata za poslove u BD ostaje pozitivan primjer uvođenja prakse bodovanja </w:t>
      </w:r>
      <w:r w:rsidR="00976929" w:rsidRPr="007D3DD7">
        <w:rPr>
          <w:rFonts w:asciiTheme="majorHAnsi" w:hAnsiTheme="majorHAnsi"/>
          <w:sz w:val="22"/>
          <w:szCs w:val="22"/>
          <w:lang w:val="bs-Latn-BA"/>
        </w:rPr>
        <w:t xml:space="preserve">preporuka </w:t>
      </w:r>
      <w:r w:rsidR="009D693D" w:rsidRPr="007D3DD7">
        <w:rPr>
          <w:rFonts w:asciiTheme="majorHAnsi" w:hAnsiTheme="majorHAnsi"/>
          <w:sz w:val="22"/>
          <w:szCs w:val="22"/>
          <w:lang w:val="bs-Latn-BA"/>
        </w:rPr>
        <w:t>koje kandidati za posao dostavljaju u prijavi. Preporuke</w:t>
      </w:r>
      <w:r w:rsidR="00976929" w:rsidRPr="007D3DD7">
        <w:rPr>
          <w:rFonts w:asciiTheme="majorHAnsi" w:hAnsiTheme="majorHAnsi"/>
          <w:sz w:val="22"/>
          <w:szCs w:val="22"/>
          <w:lang w:val="bs-Latn-BA"/>
        </w:rPr>
        <w:t xml:space="preserve">, </w:t>
      </w:r>
      <w:r w:rsidR="009D693D" w:rsidRPr="007D3DD7">
        <w:rPr>
          <w:rFonts w:asciiTheme="majorHAnsi" w:hAnsiTheme="majorHAnsi"/>
          <w:sz w:val="22"/>
          <w:szCs w:val="22"/>
          <w:lang w:val="bs-Latn-BA"/>
        </w:rPr>
        <w:t xml:space="preserve">ukoliko su vjerodostojne i dolaze od relevantnih ljudi, predstavljaju dobar izvor informacija o kandidatu </w:t>
      </w:r>
      <w:r w:rsidR="00542A39" w:rsidRPr="007D3DD7">
        <w:rPr>
          <w:rFonts w:asciiTheme="majorHAnsi" w:hAnsiTheme="majorHAnsi"/>
          <w:sz w:val="22"/>
          <w:szCs w:val="22"/>
          <w:lang w:val="bs-Latn-BA"/>
        </w:rPr>
        <w:t xml:space="preserve">i njihovu upotrebu u procesu zapošljavanja treba pozdraviti. </w:t>
      </w:r>
    </w:p>
    <w:p w:rsidR="00542A39" w:rsidRPr="007D3DD7" w:rsidRDefault="00542A3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U toku 2015. godine u saradnji sa </w:t>
      </w:r>
      <w:r w:rsidR="00584214" w:rsidRPr="007D3DD7">
        <w:rPr>
          <w:rFonts w:asciiTheme="majorHAnsi" w:hAnsiTheme="majorHAnsi"/>
          <w:sz w:val="22"/>
          <w:szCs w:val="22"/>
          <w:lang w:val="bs-Latn-BA"/>
        </w:rPr>
        <w:t>EU-HRM</w:t>
      </w:r>
      <w:r w:rsidRPr="007D3DD7">
        <w:rPr>
          <w:rFonts w:asciiTheme="majorHAnsi" w:hAnsiTheme="majorHAnsi"/>
          <w:sz w:val="22"/>
          <w:szCs w:val="22"/>
          <w:lang w:val="bs-Latn-BA"/>
        </w:rPr>
        <w:t xml:space="preserve"> projektom održane su obuke za preko 100 članova komisija za zapošljavanje </w:t>
      </w:r>
      <w:r w:rsidR="00542A39" w:rsidRPr="007D3DD7">
        <w:rPr>
          <w:rFonts w:asciiTheme="majorHAnsi" w:hAnsiTheme="majorHAnsi"/>
          <w:sz w:val="22"/>
          <w:szCs w:val="22"/>
          <w:lang w:val="bs-Latn-BA"/>
        </w:rPr>
        <w:t xml:space="preserve">u BD-u </w:t>
      </w:r>
      <w:r w:rsidRPr="007D3DD7">
        <w:rPr>
          <w:rFonts w:asciiTheme="majorHAnsi" w:hAnsiTheme="majorHAnsi"/>
          <w:sz w:val="22"/>
          <w:szCs w:val="22"/>
          <w:lang w:val="bs-Latn-BA"/>
        </w:rPr>
        <w:t xml:space="preserve">u skladu sa novim </w:t>
      </w:r>
      <w:r w:rsidRPr="007D3DD7">
        <w:rPr>
          <w:rFonts w:asciiTheme="majorHAnsi" w:hAnsiTheme="majorHAnsi"/>
          <w:i/>
          <w:sz w:val="22"/>
          <w:szCs w:val="22"/>
          <w:lang w:val="bs-Latn-BA"/>
        </w:rPr>
        <w:t xml:space="preserve">Zakonom o državnoj službi </w:t>
      </w:r>
      <w:r w:rsidRPr="007D3DD7">
        <w:rPr>
          <w:rFonts w:asciiTheme="majorHAnsi" w:hAnsiTheme="majorHAnsi"/>
          <w:sz w:val="22"/>
          <w:szCs w:val="22"/>
          <w:lang w:val="bs-Latn-BA"/>
        </w:rPr>
        <w:t xml:space="preserve">i </w:t>
      </w:r>
      <w:r w:rsidRPr="007D3DD7">
        <w:rPr>
          <w:rFonts w:asciiTheme="majorHAnsi" w:hAnsiTheme="majorHAnsi"/>
          <w:i/>
          <w:sz w:val="22"/>
          <w:szCs w:val="22"/>
          <w:lang w:val="bs-Latn-BA"/>
        </w:rPr>
        <w:t>Pravilnikom o zapošljavanju</w:t>
      </w:r>
      <w:r w:rsidRPr="007D3DD7">
        <w:rPr>
          <w:rFonts w:asciiTheme="majorHAnsi" w:hAnsiTheme="majorHAnsi"/>
          <w:sz w:val="22"/>
          <w:szCs w:val="22"/>
          <w:lang w:val="bs-Latn-BA"/>
        </w:rPr>
        <w:t>.</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542A39" w:rsidP="00542A39">
      <w:pPr>
        <w:tabs>
          <w:tab w:val="left" w:pos="0"/>
        </w:tabs>
        <w:spacing w:before="60" w:after="60"/>
        <w:jc w:val="both"/>
        <w:rPr>
          <w:rFonts w:asciiTheme="majorHAnsi" w:hAnsiTheme="majorHAnsi" w:cs="Tahoma"/>
          <w:sz w:val="22"/>
          <w:szCs w:val="22"/>
          <w:lang w:val="bs-Latn-BA"/>
        </w:rPr>
      </w:pPr>
      <w:r w:rsidRPr="007D3DD7">
        <w:rPr>
          <w:rFonts w:asciiTheme="majorHAnsi" w:hAnsiTheme="majorHAnsi" w:cs="Tahoma"/>
          <w:sz w:val="22"/>
          <w:szCs w:val="22"/>
          <w:lang w:val="bs-Latn-BA"/>
        </w:rPr>
        <w:t>Na kraju, p</w:t>
      </w:r>
      <w:r w:rsidR="00584214" w:rsidRPr="007D3DD7">
        <w:rPr>
          <w:rFonts w:asciiTheme="majorHAnsi" w:hAnsiTheme="majorHAnsi" w:cs="Tahoma"/>
          <w:sz w:val="22"/>
          <w:szCs w:val="22"/>
          <w:lang w:val="bs-Latn-BA"/>
        </w:rPr>
        <w:t xml:space="preserve">ored jačanja kapaciteta državnih službenika i namještenika koji rade na poslovima regrutiranja i selekcije </w:t>
      </w:r>
      <w:r w:rsidRPr="007D3DD7">
        <w:rPr>
          <w:rFonts w:asciiTheme="majorHAnsi" w:hAnsiTheme="majorHAnsi" w:cs="Tahoma"/>
          <w:sz w:val="22"/>
          <w:szCs w:val="22"/>
          <w:lang w:val="bs-Latn-BA"/>
        </w:rPr>
        <w:t>(</w:t>
      </w:r>
      <w:r w:rsidR="00584214" w:rsidRPr="007D3DD7">
        <w:rPr>
          <w:rFonts w:asciiTheme="majorHAnsi" w:hAnsiTheme="majorHAnsi" w:cs="Tahoma"/>
          <w:sz w:val="22"/>
          <w:szCs w:val="22"/>
          <w:lang w:val="bs-Latn-BA"/>
        </w:rPr>
        <w:t>kako bi u procesu zapošljavanja bili u mogućnosti donijeti objektivan sud o kandidatima</w:t>
      </w:r>
      <w:r w:rsidRPr="007D3DD7">
        <w:rPr>
          <w:rFonts w:asciiTheme="majorHAnsi" w:hAnsiTheme="majorHAnsi" w:cs="Tahoma"/>
          <w:sz w:val="22"/>
          <w:szCs w:val="22"/>
          <w:lang w:val="bs-Latn-BA"/>
        </w:rPr>
        <w:t>)</w:t>
      </w:r>
      <w:r w:rsidR="00584214" w:rsidRPr="007D3DD7">
        <w:rPr>
          <w:rFonts w:asciiTheme="majorHAnsi" w:hAnsiTheme="majorHAnsi" w:cs="Tahoma"/>
          <w:sz w:val="22"/>
          <w:szCs w:val="22"/>
          <w:lang w:val="bs-Latn-BA"/>
        </w:rPr>
        <w:t xml:space="preserve">, </w:t>
      </w:r>
      <w:r w:rsidRPr="007D3DD7">
        <w:rPr>
          <w:rFonts w:asciiTheme="majorHAnsi" w:hAnsiTheme="majorHAnsi" w:cs="Tahoma"/>
          <w:sz w:val="22"/>
          <w:szCs w:val="22"/>
          <w:lang w:val="bs-Latn-BA"/>
        </w:rPr>
        <w:t>potrebno je ispitati sve mogućnosti da se konačno započne s</w:t>
      </w:r>
      <w:r w:rsidR="00E36609" w:rsidRPr="007D3DD7">
        <w:rPr>
          <w:rFonts w:asciiTheme="majorHAnsi" w:hAnsiTheme="majorHAnsi" w:cs="Tahoma"/>
          <w:sz w:val="22"/>
          <w:szCs w:val="22"/>
          <w:lang w:val="bs-Latn-BA"/>
        </w:rPr>
        <w:t>a</w:t>
      </w:r>
      <w:r w:rsidRPr="007D3DD7">
        <w:rPr>
          <w:rFonts w:asciiTheme="majorHAnsi" w:hAnsiTheme="majorHAnsi" w:cs="Tahoma"/>
          <w:sz w:val="22"/>
          <w:szCs w:val="22"/>
          <w:lang w:val="bs-Latn-BA"/>
        </w:rPr>
        <w:t xml:space="preserve"> praksom </w:t>
      </w:r>
      <w:r w:rsidR="00584214" w:rsidRPr="007D3DD7">
        <w:rPr>
          <w:rFonts w:asciiTheme="majorHAnsi" w:hAnsiTheme="majorHAnsi" w:cs="Tahoma"/>
          <w:sz w:val="22"/>
          <w:szCs w:val="22"/>
          <w:lang w:val="bs-Latn-BA"/>
        </w:rPr>
        <w:t>snimanja usmenih intervjua</w:t>
      </w:r>
      <w:r w:rsidRPr="007D3DD7">
        <w:rPr>
          <w:rFonts w:asciiTheme="majorHAnsi" w:hAnsiTheme="majorHAnsi" w:cs="Tahoma"/>
          <w:sz w:val="22"/>
          <w:szCs w:val="22"/>
          <w:lang w:val="bs-Latn-BA"/>
        </w:rPr>
        <w:t xml:space="preserve">. Na ovaj način bi se povećala transparentnost procesa zapošljavanja što bi imalo pozitivan uticaj na profesionalnost i neovisnost članova konkursnih komisija. Naravno, </w:t>
      </w:r>
      <w:r w:rsidR="00584214" w:rsidRPr="007D3DD7">
        <w:rPr>
          <w:rFonts w:asciiTheme="majorHAnsi" w:hAnsiTheme="majorHAnsi" w:cs="Tahoma"/>
          <w:sz w:val="22"/>
          <w:szCs w:val="22"/>
          <w:lang w:val="bs-Latn-BA"/>
        </w:rPr>
        <w:t xml:space="preserve">kandidatima koji smatraju da su oštećeni u postupku odabira </w:t>
      </w:r>
      <w:r w:rsidRPr="007D3DD7">
        <w:rPr>
          <w:rFonts w:asciiTheme="majorHAnsi" w:hAnsiTheme="majorHAnsi" w:cs="Tahoma"/>
          <w:sz w:val="22"/>
          <w:szCs w:val="22"/>
          <w:lang w:val="bs-Latn-BA"/>
        </w:rPr>
        <w:t xml:space="preserve">omogućio bi se </w:t>
      </w:r>
      <w:r w:rsidR="00584214" w:rsidRPr="007D3DD7">
        <w:rPr>
          <w:rFonts w:asciiTheme="majorHAnsi" w:hAnsiTheme="majorHAnsi" w:cs="Tahoma"/>
          <w:sz w:val="22"/>
          <w:szCs w:val="22"/>
          <w:lang w:val="bs-Latn-BA"/>
        </w:rPr>
        <w:t xml:space="preserve">uvid </w:t>
      </w:r>
      <w:r w:rsidRPr="007D3DD7">
        <w:rPr>
          <w:rFonts w:asciiTheme="majorHAnsi" w:hAnsiTheme="majorHAnsi" w:cs="Tahoma"/>
          <w:sz w:val="22"/>
          <w:szCs w:val="22"/>
          <w:lang w:val="bs-Latn-BA"/>
        </w:rPr>
        <w:t xml:space="preserve">u </w:t>
      </w:r>
      <w:r w:rsidR="00584214" w:rsidRPr="007D3DD7">
        <w:rPr>
          <w:rFonts w:asciiTheme="majorHAnsi" w:hAnsiTheme="majorHAnsi" w:cs="Tahoma"/>
          <w:sz w:val="22"/>
          <w:szCs w:val="22"/>
          <w:lang w:val="bs-Latn-BA"/>
        </w:rPr>
        <w:t>kompletan audio-video zapis razgovora, kao i pismene radove drugih kandidata</w:t>
      </w:r>
      <w:r w:rsidRPr="007D3DD7">
        <w:rPr>
          <w:rFonts w:asciiTheme="majorHAnsi" w:hAnsiTheme="majorHAnsi" w:cs="Tahoma"/>
          <w:sz w:val="22"/>
          <w:szCs w:val="22"/>
          <w:lang w:val="bs-Latn-BA"/>
        </w:rPr>
        <w:t xml:space="preserve">. </w:t>
      </w:r>
      <w:r w:rsidR="00976929" w:rsidRPr="007D3DD7">
        <w:rPr>
          <w:rFonts w:asciiTheme="majorHAnsi" w:eastAsia="MS Gothic" w:hAnsiTheme="majorHAnsi"/>
          <w:bCs/>
          <w:sz w:val="22"/>
          <w:szCs w:val="22"/>
          <w:lang w:val="bs-Latn-BA"/>
        </w:rPr>
        <w:t xml:space="preserve"> </w:t>
      </w:r>
    </w:p>
    <w:p w:rsidR="00976929" w:rsidRPr="007D3DD7" w:rsidRDefault="00976929" w:rsidP="00976929">
      <w:pPr>
        <w:pStyle w:val="Heading3"/>
        <w:spacing w:before="60"/>
        <w:jc w:val="both"/>
        <w:rPr>
          <w:rFonts w:asciiTheme="majorHAnsi" w:hAnsiTheme="majorHAnsi"/>
          <w:sz w:val="22"/>
          <w:szCs w:val="22"/>
          <w:lang w:val="bs-Latn-BA"/>
        </w:rPr>
      </w:pPr>
    </w:p>
    <w:p w:rsidR="00976929" w:rsidRPr="0041049B" w:rsidRDefault="00976929" w:rsidP="0041049B">
      <w:pPr>
        <w:pStyle w:val="NoSpacing"/>
        <w:spacing w:before="240"/>
        <w:ind w:right="-6"/>
        <w:rPr>
          <w:b/>
          <w:lang w:val="bs-Latn-BA"/>
        </w:rPr>
      </w:pPr>
      <w:r w:rsidRPr="0041049B">
        <w:rPr>
          <w:b/>
          <w:lang w:val="bs-Latn-BA"/>
        </w:rPr>
        <w:t>Praćenje učinkovitosti u radu</w:t>
      </w:r>
    </w:p>
    <w:p w:rsidR="00542A39" w:rsidRPr="007D3DD7" w:rsidRDefault="00542A39" w:rsidP="00976929">
      <w:pPr>
        <w:tabs>
          <w:tab w:val="left" w:pos="450"/>
        </w:tabs>
        <w:spacing w:before="60" w:after="60"/>
        <w:jc w:val="both"/>
        <w:rPr>
          <w:rFonts w:asciiTheme="majorHAnsi" w:hAnsiTheme="majorHAnsi" w:cs="Tahoma"/>
          <w:sz w:val="22"/>
          <w:szCs w:val="22"/>
          <w:lang w:val="bs-Latn-BA"/>
        </w:rPr>
      </w:pPr>
    </w:p>
    <w:p w:rsidR="00976929" w:rsidRPr="007D3DD7" w:rsidRDefault="00976929" w:rsidP="00976929">
      <w:pPr>
        <w:tabs>
          <w:tab w:val="left" w:pos="450"/>
        </w:tabs>
        <w:spacing w:before="60" w:after="60"/>
        <w:jc w:val="both"/>
        <w:rPr>
          <w:rFonts w:asciiTheme="majorHAnsi" w:hAnsiTheme="majorHAnsi" w:cs="Tahoma"/>
          <w:sz w:val="22"/>
          <w:szCs w:val="22"/>
          <w:lang w:val="bs-Latn-BA"/>
        </w:rPr>
      </w:pPr>
      <w:r w:rsidRPr="007D3DD7">
        <w:rPr>
          <w:rFonts w:asciiTheme="majorHAnsi" w:hAnsiTheme="majorHAnsi" w:cs="Tahoma"/>
          <w:sz w:val="22"/>
          <w:szCs w:val="22"/>
          <w:lang w:val="bs-Latn-BA"/>
        </w:rPr>
        <w:t xml:space="preserve">Praćenje radne učinkovitosti podrazumijeva aktivnosti kojima rukovodilac nastoji da maksimizira učinak rada podređenih pojedinaca da bi im pomogao u postizanju zadatih ciljeva i osigurao profesionalni razvoj. </w:t>
      </w:r>
    </w:p>
    <w:p w:rsidR="00976929" w:rsidRPr="007D3DD7" w:rsidRDefault="00976929" w:rsidP="00976929">
      <w:pPr>
        <w:tabs>
          <w:tab w:val="left" w:pos="450"/>
        </w:tabs>
        <w:spacing w:before="60" w:after="60"/>
        <w:jc w:val="both"/>
        <w:rPr>
          <w:rFonts w:asciiTheme="majorHAnsi" w:hAnsiTheme="majorHAnsi" w:cs="Tahoma"/>
          <w:sz w:val="22"/>
          <w:szCs w:val="22"/>
          <w:highlight w:val="yellow"/>
          <w:lang w:val="bs-Latn-BA"/>
        </w:rPr>
      </w:pPr>
    </w:p>
    <w:p w:rsidR="00976929" w:rsidRPr="007D3DD7" w:rsidRDefault="00976929" w:rsidP="00976929">
      <w:pPr>
        <w:tabs>
          <w:tab w:val="left" w:pos="450"/>
        </w:tabs>
        <w:spacing w:before="60" w:after="60"/>
        <w:jc w:val="both"/>
        <w:rPr>
          <w:rFonts w:asciiTheme="majorHAnsi" w:hAnsiTheme="majorHAnsi" w:cs="Tahoma"/>
          <w:sz w:val="22"/>
          <w:szCs w:val="22"/>
          <w:lang w:val="bs-Latn-BA"/>
        </w:rPr>
      </w:pPr>
      <w:r w:rsidRPr="007D3DD7">
        <w:rPr>
          <w:rFonts w:asciiTheme="majorHAnsi" w:hAnsiTheme="majorHAnsi" w:cs="Tahoma"/>
          <w:sz w:val="22"/>
          <w:szCs w:val="22"/>
          <w:lang w:val="bs-Latn-BA"/>
        </w:rPr>
        <w:t>Učinkovitost u radu se prati zbog potrebe da se osigura efikasan rad pojedinaca, a nagrađivanje odnosno sankcionisanje dolazi kao posljedica.  Međutim, u kontekstu BiH</w:t>
      </w:r>
      <w:r w:rsidR="004D61E1" w:rsidRPr="007D3DD7">
        <w:rPr>
          <w:rFonts w:asciiTheme="majorHAnsi" w:hAnsiTheme="majorHAnsi" w:cs="Tahoma"/>
          <w:sz w:val="22"/>
          <w:szCs w:val="22"/>
          <w:lang w:val="bs-Latn-BA"/>
        </w:rPr>
        <w:t>,</w:t>
      </w:r>
      <w:r w:rsidRPr="007D3DD7">
        <w:rPr>
          <w:rFonts w:asciiTheme="majorHAnsi" w:hAnsiTheme="majorHAnsi" w:cs="Tahoma"/>
          <w:sz w:val="22"/>
          <w:szCs w:val="22"/>
          <w:lang w:val="bs-Latn-BA"/>
        </w:rPr>
        <w:t xml:space="preserve"> svrha praćenja i ocjenjivanja učinka </w:t>
      </w:r>
      <w:r w:rsidR="004D61E1" w:rsidRPr="007D3DD7">
        <w:rPr>
          <w:rFonts w:asciiTheme="majorHAnsi" w:hAnsiTheme="majorHAnsi" w:cs="Tahoma"/>
          <w:sz w:val="22"/>
          <w:szCs w:val="22"/>
          <w:lang w:val="bs-Latn-BA"/>
        </w:rPr>
        <w:t>svodi se</w:t>
      </w:r>
      <w:r w:rsidRPr="007D3DD7">
        <w:rPr>
          <w:rFonts w:asciiTheme="majorHAnsi" w:hAnsiTheme="majorHAnsi" w:cs="Tahoma"/>
          <w:sz w:val="22"/>
          <w:szCs w:val="22"/>
          <w:lang w:val="bs-Latn-BA"/>
        </w:rPr>
        <w:t xml:space="preserve"> </w:t>
      </w:r>
      <w:r w:rsidR="004D61E1" w:rsidRPr="007D3DD7">
        <w:rPr>
          <w:rFonts w:asciiTheme="majorHAnsi" w:hAnsiTheme="majorHAnsi" w:cs="Tahoma"/>
          <w:sz w:val="22"/>
          <w:szCs w:val="22"/>
          <w:lang w:val="bs-Latn-BA"/>
        </w:rPr>
        <w:t>skoro isključivo na nagrađivanje odnosno sankcionisanje pojedin</w:t>
      </w:r>
      <w:r w:rsidRPr="007D3DD7">
        <w:rPr>
          <w:rFonts w:asciiTheme="majorHAnsi" w:hAnsiTheme="majorHAnsi" w:cs="Tahoma"/>
          <w:sz w:val="22"/>
          <w:szCs w:val="22"/>
          <w:lang w:val="bs-Latn-BA"/>
        </w:rPr>
        <w:t>ca</w:t>
      </w:r>
      <w:r w:rsidR="004D61E1" w:rsidRPr="007D3DD7">
        <w:rPr>
          <w:rFonts w:asciiTheme="majorHAnsi" w:hAnsiTheme="majorHAnsi" w:cs="Tahoma"/>
          <w:sz w:val="22"/>
          <w:szCs w:val="22"/>
          <w:lang w:val="bs-Latn-BA"/>
        </w:rPr>
        <w:t>. B</w:t>
      </w:r>
      <w:r w:rsidRPr="007D3DD7">
        <w:rPr>
          <w:rFonts w:asciiTheme="majorHAnsi" w:hAnsiTheme="majorHAnsi" w:cs="Tahoma"/>
          <w:sz w:val="22"/>
          <w:szCs w:val="22"/>
          <w:lang w:val="bs-Latn-BA"/>
        </w:rPr>
        <w:t xml:space="preserve">udući da zbog </w:t>
      </w:r>
      <w:r w:rsidR="004D61E1" w:rsidRPr="007D3DD7">
        <w:rPr>
          <w:rFonts w:asciiTheme="majorHAnsi" w:hAnsiTheme="majorHAnsi" w:cs="Tahoma"/>
          <w:sz w:val="22"/>
          <w:szCs w:val="22"/>
          <w:lang w:val="bs-Latn-BA"/>
        </w:rPr>
        <w:t>hroničnih budžetskih restrikcija nije moguće izdvojiti sredst</w:t>
      </w:r>
      <w:r w:rsidRPr="007D3DD7">
        <w:rPr>
          <w:rFonts w:asciiTheme="majorHAnsi" w:hAnsiTheme="majorHAnsi" w:cs="Tahoma"/>
          <w:sz w:val="22"/>
          <w:szCs w:val="22"/>
          <w:lang w:val="bs-Latn-BA"/>
        </w:rPr>
        <w:t xml:space="preserve">va za materijalno nagrađivanje, </w:t>
      </w:r>
      <w:r w:rsidR="004D61E1" w:rsidRPr="007D3DD7">
        <w:rPr>
          <w:rFonts w:asciiTheme="majorHAnsi" w:hAnsiTheme="majorHAnsi" w:cs="Tahoma"/>
          <w:sz w:val="22"/>
          <w:szCs w:val="22"/>
          <w:lang w:val="bs-Latn-BA"/>
        </w:rPr>
        <w:t>kompletna održivost sistema je dovedena u pitanje. P</w:t>
      </w:r>
      <w:r w:rsidRPr="007D3DD7">
        <w:rPr>
          <w:rFonts w:asciiTheme="majorHAnsi" w:hAnsiTheme="majorHAnsi" w:cs="Tahoma"/>
          <w:sz w:val="22"/>
          <w:szCs w:val="22"/>
          <w:lang w:val="bs-Latn-BA"/>
        </w:rPr>
        <w:t xml:space="preserve">rocedure se provode </w:t>
      </w:r>
      <w:r w:rsidRPr="007D3DD7">
        <w:rPr>
          <w:rFonts w:asciiTheme="majorHAnsi" w:hAnsiTheme="majorHAnsi" w:cs="Tahoma"/>
          <w:i/>
          <w:sz w:val="22"/>
          <w:szCs w:val="22"/>
          <w:lang w:val="bs-Latn-BA"/>
        </w:rPr>
        <w:t>pro forma</w:t>
      </w:r>
      <w:r w:rsidR="004D61E1" w:rsidRPr="007D3DD7">
        <w:rPr>
          <w:rFonts w:asciiTheme="majorHAnsi" w:hAnsiTheme="majorHAnsi" w:cs="Tahoma"/>
          <w:sz w:val="22"/>
          <w:szCs w:val="22"/>
          <w:lang w:val="bs-Latn-BA"/>
        </w:rPr>
        <w:t xml:space="preserve"> i </w:t>
      </w:r>
      <w:r w:rsidR="004D61E1" w:rsidRPr="007D3DD7">
        <w:rPr>
          <w:rFonts w:asciiTheme="majorHAnsi" w:hAnsiTheme="majorHAnsi" w:cs="Tahoma"/>
          <w:sz w:val="22"/>
          <w:szCs w:val="22"/>
          <w:lang w:val="bs-Latn-BA"/>
        </w:rPr>
        <w:lastRenderedPageBreak/>
        <w:t>uz naglašeno opredjeljenje rukovodilaca da se nikom ne zamjeraju. Konačni rezultat takvog pristupa je izuzteno visok broj</w:t>
      </w:r>
      <w:r w:rsidRPr="007D3DD7">
        <w:rPr>
          <w:rFonts w:asciiTheme="majorHAnsi" w:hAnsiTheme="majorHAnsi" w:cs="Tahoma"/>
          <w:sz w:val="22"/>
          <w:szCs w:val="22"/>
          <w:lang w:val="bs-Latn-BA"/>
        </w:rPr>
        <w:t xml:space="preserve"> zaposlenih </w:t>
      </w:r>
      <w:r w:rsidR="004D61E1" w:rsidRPr="007D3DD7">
        <w:rPr>
          <w:rFonts w:asciiTheme="majorHAnsi" w:hAnsiTheme="majorHAnsi" w:cs="Tahoma"/>
          <w:sz w:val="22"/>
          <w:szCs w:val="22"/>
          <w:lang w:val="bs-Latn-BA"/>
        </w:rPr>
        <w:t>koji su o</w:t>
      </w:r>
      <w:r w:rsidRPr="007D3DD7">
        <w:rPr>
          <w:rFonts w:asciiTheme="majorHAnsi" w:hAnsiTheme="majorHAnsi" w:cs="Tahoma"/>
          <w:sz w:val="22"/>
          <w:szCs w:val="22"/>
          <w:lang w:val="bs-Latn-BA"/>
        </w:rPr>
        <w:t>cijenjen</w:t>
      </w:r>
      <w:r w:rsidR="004D61E1" w:rsidRPr="007D3DD7">
        <w:rPr>
          <w:rFonts w:asciiTheme="majorHAnsi" w:hAnsiTheme="majorHAnsi" w:cs="Tahoma"/>
          <w:sz w:val="22"/>
          <w:szCs w:val="22"/>
          <w:lang w:val="bs-Latn-BA"/>
        </w:rPr>
        <w:t>i</w:t>
      </w:r>
      <w:r w:rsidRPr="007D3DD7">
        <w:rPr>
          <w:rFonts w:asciiTheme="majorHAnsi" w:hAnsiTheme="majorHAnsi" w:cs="Tahoma"/>
          <w:sz w:val="22"/>
          <w:szCs w:val="22"/>
          <w:lang w:val="bs-Latn-BA"/>
        </w:rPr>
        <w:t xml:space="preserve"> najvećom ocjenom.</w:t>
      </w:r>
    </w:p>
    <w:p w:rsidR="004D61E1" w:rsidRPr="007D3DD7" w:rsidRDefault="004D61E1" w:rsidP="00976929">
      <w:pPr>
        <w:tabs>
          <w:tab w:val="left" w:pos="450"/>
        </w:tabs>
        <w:spacing w:before="60" w:after="60"/>
        <w:jc w:val="both"/>
        <w:rPr>
          <w:rFonts w:asciiTheme="majorHAnsi" w:hAnsiTheme="majorHAnsi" w:cs="Tahoma"/>
          <w:sz w:val="22"/>
          <w:szCs w:val="22"/>
          <w:lang w:val="bs-Latn-BA"/>
        </w:rPr>
      </w:pPr>
    </w:p>
    <w:p w:rsidR="00976929" w:rsidRPr="007D3DD7" w:rsidRDefault="00976929" w:rsidP="00976929">
      <w:pPr>
        <w:tabs>
          <w:tab w:val="left" w:pos="450"/>
        </w:tabs>
        <w:spacing w:before="60" w:after="60"/>
        <w:jc w:val="both"/>
        <w:rPr>
          <w:rFonts w:asciiTheme="majorHAnsi" w:hAnsiTheme="majorHAnsi"/>
          <w:sz w:val="22"/>
          <w:szCs w:val="22"/>
          <w:lang w:val="bs-Latn-BA"/>
        </w:rPr>
      </w:pPr>
      <w:r w:rsidRPr="007D3DD7">
        <w:rPr>
          <w:rFonts w:asciiTheme="majorHAnsi" w:hAnsiTheme="majorHAnsi"/>
          <w:sz w:val="22"/>
          <w:szCs w:val="22"/>
          <w:lang w:val="bs-Latn-BA"/>
        </w:rPr>
        <w:t>Očigledno, trebaće se uložiti dodatni napori da postojeće menadžersk</w:t>
      </w:r>
      <w:r w:rsidR="004D61E1" w:rsidRPr="007D3DD7">
        <w:rPr>
          <w:rFonts w:asciiTheme="majorHAnsi" w:hAnsiTheme="majorHAnsi"/>
          <w:sz w:val="22"/>
          <w:szCs w:val="22"/>
          <w:lang w:val="bs-Latn-BA"/>
        </w:rPr>
        <w:t>e strukture u upravnim strukturama</w:t>
      </w:r>
      <w:r w:rsidRPr="007D3DD7">
        <w:rPr>
          <w:rFonts w:asciiTheme="majorHAnsi" w:hAnsiTheme="majorHAnsi"/>
          <w:sz w:val="22"/>
          <w:szCs w:val="22"/>
          <w:lang w:val="bs-Latn-BA"/>
        </w:rPr>
        <w:t xml:space="preserve"> u BiH shvate pravu svrhu ovog alata i da prihvate činjenicu da je u pitanju praksa koja pruža šansu rukovodiocima da maksimiziraju učinak ljudi kojima upravljaju. </w:t>
      </w:r>
    </w:p>
    <w:p w:rsidR="00976929" w:rsidRPr="007D3DD7" w:rsidRDefault="00976929" w:rsidP="00976929">
      <w:pPr>
        <w:tabs>
          <w:tab w:val="left" w:pos="450"/>
        </w:tabs>
        <w:spacing w:before="60" w:after="60"/>
        <w:jc w:val="both"/>
        <w:rPr>
          <w:rFonts w:asciiTheme="majorHAnsi" w:hAnsiTheme="majorHAnsi"/>
          <w:sz w:val="22"/>
          <w:szCs w:val="22"/>
          <w:highlight w:val="lightGray"/>
          <w:lang w:val="bs-Latn-BA"/>
        </w:rPr>
      </w:pPr>
    </w:p>
    <w:p w:rsidR="00976929" w:rsidRPr="007D3DD7" w:rsidRDefault="004D61E1" w:rsidP="00976929">
      <w:pPr>
        <w:tabs>
          <w:tab w:val="left" w:pos="450"/>
        </w:tabs>
        <w:spacing w:before="60" w:after="60"/>
        <w:jc w:val="both"/>
        <w:rPr>
          <w:rFonts w:asciiTheme="majorHAnsi" w:hAnsiTheme="majorHAnsi"/>
          <w:sz w:val="22"/>
          <w:szCs w:val="22"/>
          <w:lang w:val="bs-Latn-BA"/>
        </w:rPr>
      </w:pPr>
      <w:r w:rsidRPr="007D3DD7">
        <w:rPr>
          <w:rFonts w:asciiTheme="majorHAnsi" w:hAnsiTheme="majorHAnsi"/>
          <w:sz w:val="22"/>
          <w:szCs w:val="22"/>
          <w:lang w:val="bs-Latn-BA"/>
        </w:rPr>
        <w:t>Sadržaj popunjenih</w:t>
      </w:r>
      <w:r w:rsidR="00976929" w:rsidRPr="007D3DD7">
        <w:rPr>
          <w:rFonts w:asciiTheme="majorHAnsi" w:hAnsiTheme="majorHAnsi"/>
          <w:sz w:val="22"/>
          <w:szCs w:val="22"/>
          <w:lang w:val="bs-Latn-BA"/>
        </w:rPr>
        <w:t xml:space="preserve"> upitni</w:t>
      </w:r>
      <w:r w:rsidRPr="007D3DD7">
        <w:rPr>
          <w:rFonts w:asciiTheme="majorHAnsi" w:hAnsiTheme="majorHAnsi"/>
          <w:sz w:val="22"/>
          <w:szCs w:val="22"/>
          <w:lang w:val="bs-Latn-BA"/>
        </w:rPr>
        <w:t xml:space="preserve">ka </w:t>
      </w:r>
      <w:r w:rsidR="00976929" w:rsidRPr="007D3DD7">
        <w:rPr>
          <w:rFonts w:asciiTheme="majorHAnsi" w:hAnsiTheme="majorHAnsi"/>
          <w:sz w:val="22"/>
          <w:szCs w:val="22"/>
          <w:lang w:val="bs-Latn-BA"/>
        </w:rPr>
        <w:t>ukazuj</w:t>
      </w:r>
      <w:r w:rsidRPr="007D3DD7">
        <w:rPr>
          <w:rFonts w:asciiTheme="majorHAnsi" w:hAnsiTheme="majorHAnsi"/>
          <w:sz w:val="22"/>
          <w:szCs w:val="22"/>
          <w:lang w:val="bs-Latn-BA"/>
        </w:rPr>
        <w:t>e</w:t>
      </w:r>
      <w:r w:rsidR="00976929" w:rsidRPr="007D3DD7">
        <w:rPr>
          <w:rFonts w:asciiTheme="majorHAnsi" w:hAnsiTheme="majorHAnsi"/>
          <w:sz w:val="22"/>
          <w:szCs w:val="22"/>
          <w:lang w:val="bs-Latn-BA"/>
        </w:rPr>
        <w:t xml:space="preserve"> da se postupak ocjenjivanja državnih službenika obavlja prema važećim propisima i </w:t>
      </w:r>
      <w:r w:rsidRPr="007D3DD7">
        <w:rPr>
          <w:rFonts w:asciiTheme="majorHAnsi" w:hAnsiTheme="majorHAnsi"/>
          <w:sz w:val="22"/>
          <w:szCs w:val="22"/>
          <w:lang w:val="bs-Latn-BA"/>
        </w:rPr>
        <w:t>izuzimajući redovne obuke koje organizuju agencije za državnu službu/upravu</w:t>
      </w:r>
      <w:r w:rsidR="00E036E5" w:rsidRPr="007D3DD7">
        <w:rPr>
          <w:rFonts w:asciiTheme="majorHAnsi" w:hAnsiTheme="majorHAnsi"/>
          <w:sz w:val="22"/>
          <w:szCs w:val="22"/>
          <w:lang w:val="bs-Latn-BA"/>
        </w:rPr>
        <w:t>,</w:t>
      </w:r>
      <w:r w:rsidRPr="007D3DD7">
        <w:rPr>
          <w:rFonts w:asciiTheme="majorHAnsi" w:hAnsiTheme="majorHAnsi"/>
          <w:sz w:val="22"/>
          <w:szCs w:val="22"/>
          <w:lang w:val="bs-Latn-BA"/>
        </w:rPr>
        <w:t xml:space="preserve"> </w:t>
      </w:r>
      <w:r w:rsidR="00976929" w:rsidRPr="007D3DD7">
        <w:rPr>
          <w:rFonts w:asciiTheme="majorHAnsi" w:hAnsiTheme="majorHAnsi"/>
          <w:sz w:val="22"/>
          <w:szCs w:val="22"/>
          <w:lang w:val="bs-Latn-BA"/>
        </w:rPr>
        <w:t xml:space="preserve">ne navode se </w:t>
      </w:r>
      <w:r w:rsidRPr="007D3DD7">
        <w:rPr>
          <w:rFonts w:asciiTheme="majorHAnsi" w:hAnsiTheme="majorHAnsi"/>
          <w:sz w:val="22"/>
          <w:szCs w:val="22"/>
          <w:lang w:val="bs-Latn-BA"/>
        </w:rPr>
        <w:t xml:space="preserve">nikakve posebne </w:t>
      </w:r>
      <w:r w:rsidR="00E036E5" w:rsidRPr="007D3DD7">
        <w:rPr>
          <w:rFonts w:asciiTheme="majorHAnsi" w:hAnsiTheme="majorHAnsi"/>
          <w:sz w:val="22"/>
          <w:szCs w:val="22"/>
          <w:lang w:val="bs-Latn-BA"/>
        </w:rPr>
        <w:t>aktivnosti u ovom polju</w:t>
      </w:r>
      <w:r w:rsidRPr="007D3DD7">
        <w:rPr>
          <w:rFonts w:asciiTheme="majorHAnsi" w:hAnsiTheme="majorHAnsi"/>
          <w:sz w:val="22"/>
          <w:szCs w:val="22"/>
          <w:lang w:val="bs-Latn-BA"/>
        </w:rPr>
        <w:t xml:space="preserve">. </w:t>
      </w:r>
    </w:p>
    <w:p w:rsidR="00976929" w:rsidRPr="007D3DD7" w:rsidRDefault="00976929" w:rsidP="00976929">
      <w:pPr>
        <w:pStyle w:val="Heading3"/>
        <w:spacing w:before="60"/>
        <w:jc w:val="both"/>
        <w:rPr>
          <w:rFonts w:asciiTheme="majorHAnsi" w:hAnsiTheme="majorHAnsi"/>
          <w:color w:val="365F91"/>
          <w:sz w:val="22"/>
          <w:szCs w:val="22"/>
          <w:lang w:val="bs-Latn-BA"/>
        </w:rPr>
      </w:pPr>
    </w:p>
    <w:p w:rsidR="00976929" w:rsidRPr="0041049B" w:rsidRDefault="00976929" w:rsidP="0041049B">
      <w:pPr>
        <w:pStyle w:val="NoSpacing"/>
        <w:spacing w:before="240"/>
        <w:ind w:right="-6"/>
        <w:rPr>
          <w:b/>
          <w:lang w:val="bs-Latn-BA"/>
        </w:rPr>
      </w:pPr>
      <w:r w:rsidRPr="0041049B">
        <w:rPr>
          <w:b/>
          <w:lang w:val="bs-Latn-BA"/>
        </w:rPr>
        <w:t>Kompenzacija rada</w:t>
      </w:r>
    </w:p>
    <w:p w:rsidR="00E036E5" w:rsidRPr="007D3DD7" w:rsidRDefault="00E036E5" w:rsidP="00976929">
      <w:pPr>
        <w:spacing w:before="60" w:after="60"/>
        <w:jc w:val="both"/>
        <w:rPr>
          <w:rFonts w:asciiTheme="majorHAnsi" w:hAnsiTheme="majorHAnsi"/>
          <w:sz w:val="22"/>
          <w:szCs w:val="22"/>
          <w:lang w:val="bs-Latn-BA"/>
        </w:rPr>
      </w:pPr>
    </w:p>
    <w:p w:rsidR="00976929" w:rsidRPr="007D3DD7" w:rsidRDefault="00954253"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Jedina </w:t>
      </w:r>
      <w:r w:rsidR="00E036E5" w:rsidRPr="007D3DD7">
        <w:rPr>
          <w:rFonts w:asciiTheme="majorHAnsi" w:hAnsiTheme="majorHAnsi"/>
          <w:sz w:val="22"/>
          <w:szCs w:val="22"/>
          <w:lang w:val="bs-Latn-BA"/>
        </w:rPr>
        <w:t>aktivnost ko</w:t>
      </w:r>
      <w:r w:rsidR="00976929" w:rsidRPr="007D3DD7">
        <w:rPr>
          <w:rFonts w:asciiTheme="majorHAnsi" w:hAnsiTheme="majorHAnsi"/>
          <w:sz w:val="22"/>
          <w:szCs w:val="22"/>
          <w:lang w:val="bs-Latn-BA"/>
        </w:rPr>
        <w:t>j</w:t>
      </w:r>
      <w:r w:rsidR="00E036E5" w:rsidRPr="007D3DD7">
        <w:rPr>
          <w:rFonts w:asciiTheme="majorHAnsi" w:hAnsiTheme="majorHAnsi"/>
          <w:sz w:val="22"/>
          <w:szCs w:val="22"/>
          <w:lang w:val="bs-Latn-BA"/>
        </w:rPr>
        <w:t>a</w:t>
      </w:r>
      <w:r w:rsidR="00976929" w:rsidRPr="007D3DD7">
        <w:rPr>
          <w:rFonts w:asciiTheme="majorHAnsi" w:hAnsiTheme="majorHAnsi"/>
          <w:sz w:val="22"/>
          <w:szCs w:val="22"/>
          <w:lang w:val="bs-Latn-BA"/>
        </w:rPr>
        <w:t xml:space="preserve"> se u ovom segmentu navodi </w:t>
      </w:r>
      <w:r w:rsidRPr="007D3DD7">
        <w:rPr>
          <w:rFonts w:asciiTheme="majorHAnsi" w:hAnsiTheme="majorHAnsi"/>
          <w:sz w:val="22"/>
          <w:szCs w:val="22"/>
          <w:lang w:val="bs-Latn-BA"/>
        </w:rPr>
        <w:t xml:space="preserve">od strane ispitanika na </w:t>
      </w:r>
      <w:r w:rsidR="00976929" w:rsidRPr="007D3DD7">
        <w:rPr>
          <w:rFonts w:asciiTheme="majorHAnsi" w:hAnsiTheme="majorHAnsi"/>
          <w:sz w:val="22"/>
          <w:szCs w:val="22"/>
          <w:lang w:val="bs-Latn-BA"/>
        </w:rPr>
        <w:t>državnom nivou je</w:t>
      </w:r>
      <w:r w:rsidRPr="007D3DD7">
        <w:rPr>
          <w:rFonts w:asciiTheme="majorHAnsi" w:hAnsiTheme="majorHAnsi"/>
          <w:sz w:val="22"/>
          <w:szCs w:val="22"/>
          <w:lang w:val="bs-Latn-BA"/>
        </w:rPr>
        <w:t>ste</w:t>
      </w:r>
      <w:r w:rsidR="00C004B5" w:rsidRPr="007D3DD7">
        <w:rPr>
          <w:rFonts w:asciiTheme="majorHAnsi" w:hAnsiTheme="majorHAnsi"/>
          <w:sz w:val="22"/>
          <w:szCs w:val="22"/>
          <w:lang w:val="bs-Latn-BA"/>
        </w:rPr>
        <w:t xml:space="preserve"> predloženi Z</w:t>
      </w:r>
      <w:r w:rsidR="00976929" w:rsidRPr="007D3DD7">
        <w:rPr>
          <w:rFonts w:asciiTheme="majorHAnsi" w:hAnsiTheme="majorHAnsi"/>
          <w:sz w:val="22"/>
          <w:szCs w:val="22"/>
          <w:lang w:val="bs-Latn-BA"/>
        </w:rPr>
        <w:t xml:space="preserve">akon o izmjenama </w:t>
      </w:r>
      <w:r w:rsidR="00C004B5" w:rsidRPr="007D3DD7">
        <w:rPr>
          <w:rFonts w:asciiTheme="majorHAnsi" w:hAnsiTheme="majorHAnsi"/>
          <w:sz w:val="22"/>
          <w:szCs w:val="22"/>
          <w:lang w:val="bs-Latn-BA"/>
        </w:rPr>
        <w:t>i dopunama Z</w:t>
      </w:r>
      <w:r w:rsidR="00976929" w:rsidRPr="007D3DD7">
        <w:rPr>
          <w:rFonts w:asciiTheme="majorHAnsi" w:hAnsiTheme="majorHAnsi"/>
          <w:sz w:val="22"/>
          <w:szCs w:val="22"/>
          <w:lang w:val="bs-Latn-BA"/>
        </w:rPr>
        <w:t>akona o plaćama i naknadama u institucijama BiH koji se odnosi na policijske službenike u Jedinici za intervencije i podršku</w:t>
      </w:r>
      <w:r w:rsidR="00C004B5" w:rsidRPr="007D3DD7">
        <w:rPr>
          <w:rFonts w:asciiTheme="majorHAnsi" w:hAnsiTheme="majorHAnsi"/>
          <w:sz w:val="22"/>
          <w:szCs w:val="22"/>
          <w:lang w:val="bs-Latn-BA"/>
        </w:rPr>
        <w:t>, kao</w:t>
      </w:r>
      <w:r w:rsidR="00976929" w:rsidRPr="007D3DD7">
        <w:rPr>
          <w:rFonts w:asciiTheme="majorHAnsi" w:hAnsiTheme="majorHAnsi"/>
          <w:sz w:val="22"/>
          <w:szCs w:val="22"/>
          <w:lang w:val="bs-Latn-BA"/>
        </w:rPr>
        <w:t xml:space="preserve"> i zaposlene u Sektoru za međunarodnu operativnu </w:t>
      </w:r>
      <w:r w:rsidR="00C004B5" w:rsidRPr="007D3DD7">
        <w:rPr>
          <w:rFonts w:asciiTheme="majorHAnsi" w:hAnsiTheme="majorHAnsi"/>
          <w:sz w:val="22"/>
          <w:szCs w:val="22"/>
          <w:lang w:val="bs-Latn-BA"/>
        </w:rPr>
        <w:t>policijsku saranju</w:t>
      </w:r>
      <w:r w:rsidR="00976929" w:rsidRPr="007D3DD7">
        <w:rPr>
          <w:rFonts w:asciiTheme="majorHAnsi" w:hAnsiTheme="majorHAnsi"/>
          <w:sz w:val="22"/>
          <w:szCs w:val="22"/>
          <w:lang w:val="bs-Latn-BA"/>
        </w:rPr>
        <w:t>.</w:t>
      </w:r>
      <w:r w:rsidR="00C004B5" w:rsidRPr="007D3DD7">
        <w:rPr>
          <w:rFonts w:asciiTheme="majorHAnsi" w:hAnsiTheme="majorHAnsi"/>
          <w:sz w:val="22"/>
          <w:szCs w:val="22"/>
          <w:lang w:val="bs-Latn-BA"/>
        </w:rPr>
        <w:t xml:space="preserve"> Ove izmjene su u proceduri i očekuje se njihovo usvajanje u 2016. godini.</w:t>
      </w:r>
    </w:p>
    <w:p w:rsidR="00976929" w:rsidRPr="007D3DD7" w:rsidRDefault="00976929" w:rsidP="00976929">
      <w:pPr>
        <w:spacing w:before="60" w:after="60"/>
        <w:rPr>
          <w:rFonts w:asciiTheme="majorHAnsi" w:hAnsiTheme="majorHAnsi"/>
          <w:sz w:val="22"/>
          <w:szCs w:val="22"/>
          <w:lang w:val="bs-Latn-BA"/>
        </w:rPr>
      </w:pPr>
    </w:p>
    <w:p w:rsidR="00976929" w:rsidRPr="007D3DD7" w:rsidRDefault="00C004B5"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Pored navedenog, </w:t>
      </w:r>
      <w:r w:rsidR="00976929" w:rsidRPr="007D3DD7">
        <w:rPr>
          <w:rFonts w:asciiTheme="majorHAnsi" w:hAnsiTheme="majorHAnsi"/>
          <w:sz w:val="22"/>
          <w:szCs w:val="22"/>
          <w:lang w:val="bs-Latn-BA"/>
        </w:rPr>
        <w:t xml:space="preserve">ADS FBiH navodi da je u 2015. godini došlo je do izmjene </w:t>
      </w:r>
      <w:r w:rsidR="00976929" w:rsidRPr="007D3DD7">
        <w:rPr>
          <w:rFonts w:asciiTheme="majorHAnsi" w:hAnsiTheme="majorHAnsi"/>
          <w:i/>
          <w:sz w:val="22"/>
          <w:szCs w:val="22"/>
          <w:lang w:val="bs-Latn-BA"/>
        </w:rPr>
        <w:t>Uredbe o načinu osnivanja i utvrđivanju visine naknade za rad radnih tijela osnovanih od strane Vlade Federacije BiH i rukovodilaca federalnih organa državne službe</w:t>
      </w:r>
      <w:r w:rsidR="00976929" w:rsidRPr="007D3DD7">
        <w:rPr>
          <w:rFonts w:asciiTheme="majorHAnsi" w:hAnsiTheme="majorHAnsi"/>
          <w:sz w:val="22"/>
          <w:szCs w:val="22"/>
          <w:lang w:val="bs-Latn-BA"/>
        </w:rPr>
        <w:t xml:space="preserve"> („Službene novine Federacije BiH“, broj 48/14, 77/14, 97/14 i 58/15)</w:t>
      </w:r>
      <w:r w:rsidRPr="007D3DD7">
        <w:rPr>
          <w:rFonts w:asciiTheme="majorHAnsi" w:hAnsiTheme="majorHAnsi"/>
          <w:sz w:val="22"/>
          <w:szCs w:val="22"/>
          <w:lang w:val="bs-Latn-BA"/>
        </w:rPr>
        <w:t xml:space="preserve">. Ovom izmjenom su </w:t>
      </w:r>
      <w:r w:rsidR="00976929" w:rsidRPr="007D3DD7">
        <w:rPr>
          <w:rFonts w:asciiTheme="majorHAnsi" w:hAnsiTheme="majorHAnsi"/>
          <w:sz w:val="22"/>
          <w:szCs w:val="22"/>
          <w:lang w:val="bs-Latn-BA"/>
        </w:rPr>
        <w:t>umanjen</w:t>
      </w:r>
      <w:r w:rsidRPr="007D3DD7">
        <w:rPr>
          <w:rFonts w:asciiTheme="majorHAnsi" w:hAnsiTheme="majorHAnsi"/>
          <w:sz w:val="22"/>
          <w:szCs w:val="22"/>
          <w:lang w:val="bs-Latn-BA"/>
        </w:rPr>
        <w:t>i iznosi predviđeni</w:t>
      </w:r>
      <w:r w:rsidR="00976929" w:rsidRPr="007D3DD7">
        <w:rPr>
          <w:rFonts w:asciiTheme="majorHAnsi" w:hAnsiTheme="majorHAnsi"/>
          <w:sz w:val="22"/>
          <w:szCs w:val="22"/>
          <w:lang w:val="bs-Latn-BA"/>
        </w:rPr>
        <w:t xml:space="preserve"> za naknade.</w:t>
      </w:r>
    </w:p>
    <w:p w:rsidR="00976929" w:rsidRPr="007D3DD7" w:rsidRDefault="00976929" w:rsidP="00976929">
      <w:pPr>
        <w:spacing w:before="60" w:after="60"/>
        <w:rPr>
          <w:rFonts w:asciiTheme="majorHAnsi" w:hAnsiTheme="majorHAnsi"/>
          <w:sz w:val="22"/>
          <w:szCs w:val="22"/>
          <w:lang w:val="bs-Latn-BA"/>
        </w:rPr>
      </w:pPr>
    </w:p>
    <w:p w:rsidR="007A725A" w:rsidRPr="007D3DD7" w:rsidRDefault="007A725A" w:rsidP="00A35C0E">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Posljednja izmjena, </w:t>
      </w:r>
      <w:r w:rsidR="00182B4F" w:rsidRPr="007D3DD7">
        <w:rPr>
          <w:rFonts w:asciiTheme="majorHAnsi" w:hAnsiTheme="majorHAnsi"/>
          <w:sz w:val="22"/>
          <w:szCs w:val="22"/>
          <w:lang w:val="bs-Latn-BA"/>
        </w:rPr>
        <w:t>u članu 9</w:t>
      </w:r>
      <w:r w:rsidRPr="007D3DD7">
        <w:rPr>
          <w:rFonts w:asciiTheme="majorHAnsi" w:hAnsiTheme="majorHAnsi"/>
          <w:sz w:val="22"/>
          <w:szCs w:val="22"/>
          <w:lang w:val="bs-Latn-BA"/>
        </w:rPr>
        <w:t xml:space="preserve"> Uredbe („Službene novine Federacije BiH“, broj 58/15) utvrđuje slijedeće izmjene:</w:t>
      </w:r>
    </w:p>
    <w:p w:rsidR="007A725A" w:rsidRPr="007D3DD7" w:rsidRDefault="007A725A" w:rsidP="00D40BF2">
      <w:pPr>
        <w:spacing w:before="60" w:after="60"/>
        <w:jc w:val="both"/>
        <w:rPr>
          <w:rFonts w:asciiTheme="majorHAnsi" w:hAnsiTheme="majorHAnsi"/>
          <w:sz w:val="22"/>
          <w:szCs w:val="22"/>
          <w:lang w:val="bs-Latn-BA"/>
        </w:rPr>
      </w:pPr>
    </w:p>
    <w:p w:rsidR="007A725A" w:rsidRPr="00A35C0E" w:rsidRDefault="007A725A" w:rsidP="00A00337">
      <w:pPr>
        <w:pStyle w:val="ListParagraph"/>
        <w:numPr>
          <w:ilvl w:val="0"/>
          <w:numId w:val="4"/>
        </w:numPr>
        <w:spacing w:before="60" w:after="60"/>
        <w:ind w:left="426" w:hanging="426"/>
        <w:jc w:val="both"/>
        <w:rPr>
          <w:rFonts w:asciiTheme="majorHAnsi" w:hAnsiTheme="majorHAnsi"/>
        </w:rPr>
      </w:pPr>
      <w:r w:rsidRPr="00A35C0E">
        <w:rPr>
          <w:rFonts w:asciiTheme="majorHAnsi" w:hAnsiTheme="majorHAnsi"/>
        </w:rPr>
        <w:t>Član stalnog radnog tijela Vlade ostvaruje pravo na mjesečnu naknadu za rad u visini od 200</w:t>
      </w:r>
      <w:r w:rsidR="00182B4F" w:rsidRPr="00A35C0E">
        <w:rPr>
          <w:rFonts w:asciiTheme="majorHAnsi" w:hAnsiTheme="majorHAnsi"/>
        </w:rPr>
        <w:t xml:space="preserve"> KM (umjesto ranijih</w:t>
      </w:r>
      <w:r w:rsidRPr="00A35C0E">
        <w:rPr>
          <w:rFonts w:asciiTheme="majorHAnsi" w:hAnsiTheme="majorHAnsi"/>
        </w:rPr>
        <w:t xml:space="preserve"> 350) pod uslov</w:t>
      </w:r>
      <w:r w:rsidR="00182B4F" w:rsidRPr="00A35C0E">
        <w:rPr>
          <w:rFonts w:asciiTheme="majorHAnsi" w:hAnsiTheme="majorHAnsi"/>
        </w:rPr>
        <w:t xml:space="preserve">om </w:t>
      </w:r>
      <w:r w:rsidRPr="00A35C0E">
        <w:rPr>
          <w:rFonts w:asciiTheme="majorHAnsi" w:hAnsiTheme="majorHAnsi"/>
        </w:rPr>
        <w:t xml:space="preserve">da je u toku mjeseca održana najmanje jedna sjednica radnog tijela i da je toj sjednici prisustvovao. </w:t>
      </w:r>
    </w:p>
    <w:p w:rsidR="007A725A" w:rsidRPr="00A35C0E" w:rsidRDefault="007A725A" w:rsidP="00A00337">
      <w:pPr>
        <w:pStyle w:val="ListParagraph"/>
        <w:numPr>
          <w:ilvl w:val="0"/>
          <w:numId w:val="4"/>
        </w:numPr>
        <w:spacing w:before="60" w:after="60"/>
        <w:ind w:left="426" w:hanging="426"/>
        <w:jc w:val="both"/>
        <w:rPr>
          <w:rFonts w:asciiTheme="majorHAnsi" w:hAnsiTheme="majorHAnsi"/>
        </w:rPr>
      </w:pPr>
      <w:r w:rsidRPr="00A35C0E">
        <w:rPr>
          <w:rFonts w:asciiTheme="majorHAnsi" w:hAnsiTheme="majorHAnsi"/>
        </w:rPr>
        <w:t xml:space="preserve">Član/zamjenik člana koordinacionog tijela na nivou Bosne i Hercegovine, kao član implementacionog tima projekta koji se realiziraju na nivou Bosne i Hercegovine, koji je na tu poziciju imenovan aktom Vlade Federacije Bosne i Hercegovine, ostvaruje pravo na naknadu u visini od 200 </w:t>
      </w:r>
      <w:r w:rsidR="00182B4F" w:rsidRPr="00A35C0E">
        <w:rPr>
          <w:rFonts w:asciiTheme="majorHAnsi" w:hAnsiTheme="majorHAnsi"/>
        </w:rPr>
        <w:t xml:space="preserve">KM kvartalno </w:t>
      </w:r>
      <w:r w:rsidRPr="00A35C0E">
        <w:rPr>
          <w:rFonts w:asciiTheme="majorHAnsi" w:hAnsiTheme="majorHAnsi"/>
        </w:rPr>
        <w:t>(umjesto</w:t>
      </w:r>
      <w:r w:rsidR="00182B4F" w:rsidRPr="00A35C0E">
        <w:rPr>
          <w:rFonts w:asciiTheme="majorHAnsi" w:hAnsiTheme="majorHAnsi"/>
        </w:rPr>
        <w:t xml:space="preserve"> 350</w:t>
      </w:r>
      <w:r w:rsidRPr="00A35C0E">
        <w:rPr>
          <w:rFonts w:asciiTheme="majorHAnsi" w:hAnsiTheme="majorHAnsi"/>
        </w:rPr>
        <w:t xml:space="preserve">), pod uslovom da je u tom periodu održana najmanje jedna sjednica tijela u koje je imenovan i da je toj sjednici prisustvovao, kao i da je rukovodiocu organa ili Vladi podnio izvještaj (kvartalni/polugodišnji/godišnji) o stanju u oblasti iz djelokruga tijela u koje su imenovani. </w:t>
      </w:r>
    </w:p>
    <w:p w:rsidR="007A725A" w:rsidRPr="00A35C0E" w:rsidRDefault="007A725A" w:rsidP="00A00337">
      <w:pPr>
        <w:pStyle w:val="ListParagraph"/>
        <w:numPr>
          <w:ilvl w:val="0"/>
          <w:numId w:val="4"/>
        </w:numPr>
        <w:spacing w:before="60" w:after="60"/>
        <w:ind w:left="426" w:hanging="426"/>
        <w:jc w:val="both"/>
        <w:rPr>
          <w:rFonts w:asciiTheme="majorHAnsi" w:hAnsiTheme="majorHAnsi"/>
        </w:rPr>
      </w:pPr>
      <w:r w:rsidRPr="00A35C0E">
        <w:rPr>
          <w:rFonts w:asciiTheme="majorHAnsi" w:hAnsiTheme="majorHAnsi"/>
        </w:rPr>
        <w:t>Član povremenog radnog tijela Vlade ostvaruje pravo na naknadu, nakon usvajanja izvještaja iz člana 6. ove uredbe, u jednokratnom iznosu, koji ne može biti veći od 200</w:t>
      </w:r>
      <w:r w:rsidR="00182B4F" w:rsidRPr="00A35C0E">
        <w:rPr>
          <w:rFonts w:asciiTheme="majorHAnsi" w:hAnsiTheme="majorHAnsi"/>
        </w:rPr>
        <w:t xml:space="preserve"> KM</w:t>
      </w:r>
      <w:r w:rsidRPr="00A35C0E">
        <w:rPr>
          <w:rFonts w:asciiTheme="majorHAnsi" w:hAnsiTheme="majorHAnsi"/>
        </w:rPr>
        <w:t xml:space="preserve"> (umjesto </w:t>
      </w:r>
      <w:r w:rsidR="00182B4F" w:rsidRPr="00A35C0E">
        <w:rPr>
          <w:rFonts w:asciiTheme="majorHAnsi" w:hAnsiTheme="majorHAnsi"/>
        </w:rPr>
        <w:t>dosadašnjih</w:t>
      </w:r>
      <w:r w:rsidRPr="00A35C0E">
        <w:rPr>
          <w:rFonts w:asciiTheme="majorHAnsi" w:hAnsiTheme="majorHAnsi"/>
        </w:rPr>
        <w:t xml:space="preserve"> 350), što utvrđuje Vlada, na prijedlog predsjednika radnog tijela, a u zavisnosti od složenosti oblasti za koju je obrazovano radno tijelo, potrebe rada na terenu, obuhvata različitih oblasti, obima poslova i broja održanih sjednica. </w:t>
      </w:r>
    </w:p>
    <w:p w:rsidR="00B863F0" w:rsidRDefault="007A725A" w:rsidP="00A00337">
      <w:pPr>
        <w:pStyle w:val="ListParagraph"/>
        <w:numPr>
          <w:ilvl w:val="0"/>
          <w:numId w:val="4"/>
        </w:numPr>
        <w:spacing w:before="60" w:after="0"/>
        <w:ind w:left="426" w:hanging="426"/>
        <w:jc w:val="both"/>
        <w:rPr>
          <w:rFonts w:asciiTheme="majorHAnsi" w:hAnsiTheme="majorHAnsi"/>
        </w:rPr>
      </w:pPr>
      <w:r w:rsidRPr="00B863F0">
        <w:rPr>
          <w:rFonts w:asciiTheme="majorHAnsi" w:hAnsiTheme="majorHAnsi"/>
        </w:rPr>
        <w:t>Član stalnog radnog tijela federalnog organa ili službe ostvaruje pravo na mjesečnu naknadu za rad u visini od 200</w:t>
      </w:r>
      <w:r w:rsidR="00182B4F" w:rsidRPr="00B863F0">
        <w:rPr>
          <w:rFonts w:asciiTheme="majorHAnsi" w:hAnsiTheme="majorHAnsi"/>
        </w:rPr>
        <w:t xml:space="preserve"> KM</w:t>
      </w:r>
      <w:r w:rsidRPr="00B863F0">
        <w:rPr>
          <w:rFonts w:asciiTheme="majorHAnsi" w:hAnsiTheme="majorHAnsi"/>
        </w:rPr>
        <w:t xml:space="preserve"> (umjesto 350</w:t>
      </w:r>
      <w:r w:rsidR="00182B4F" w:rsidRPr="00B863F0">
        <w:rPr>
          <w:rFonts w:asciiTheme="majorHAnsi" w:hAnsiTheme="majorHAnsi"/>
        </w:rPr>
        <w:t>)</w:t>
      </w:r>
      <w:r w:rsidRPr="00B863F0">
        <w:rPr>
          <w:rFonts w:asciiTheme="majorHAnsi" w:hAnsiTheme="majorHAnsi"/>
        </w:rPr>
        <w:t xml:space="preserve"> pod uslovima da je u toku mjeseca održana najmanje jedna sjednica radnog tijela i da je toj sjednici prisustvovao. </w:t>
      </w:r>
    </w:p>
    <w:p w:rsidR="007A725A" w:rsidRPr="00B863F0" w:rsidRDefault="007A725A" w:rsidP="00A00337">
      <w:pPr>
        <w:pStyle w:val="ListParagraph"/>
        <w:numPr>
          <w:ilvl w:val="0"/>
          <w:numId w:val="4"/>
        </w:numPr>
        <w:spacing w:before="60" w:after="60"/>
        <w:ind w:left="426" w:hanging="426"/>
        <w:jc w:val="both"/>
        <w:rPr>
          <w:rFonts w:asciiTheme="majorHAnsi" w:hAnsiTheme="majorHAnsi"/>
        </w:rPr>
      </w:pPr>
      <w:r w:rsidRPr="00B863F0">
        <w:rPr>
          <w:rFonts w:asciiTheme="majorHAnsi" w:hAnsiTheme="majorHAnsi"/>
        </w:rPr>
        <w:lastRenderedPageBreak/>
        <w:t xml:space="preserve">Član povremenog radnog tijela federalnog organa ili službe ostvaruje pravo na naknadu, nakon usvajanja izvještaja iz člana 6. ove uredbe, u jednokratnom iznosu koji ne može biti veći od 200 (umjesto ranije 300)  KM što utvrđuje rukovodilac, na prijedlog predsjednika radnog tijela, a u zavisnosti od složenosti oblasti za koju je obrazovano radno tijelo, obima poslova, broja održanih sjednica, vremena provednog na pripremi materijala iz nadležnosti komisije u prekovremenom radu ili u dane kada se ne radi. </w:t>
      </w:r>
    </w:p>
    <w:p w:rsidR="007A725A" w:rsidRPr="007D3DD7" w:rsidRDefault="007A725A" w:rsidP="007A725A">
      <w:pPr>
        <w:spacing w:before="60" w:after="60"/>
        <w:rPr>
          <w:rFonts w:asciiTheme="majorHAnsi" w:hAnsiTheme="majorHAnsi"/>
          <w:sz w:val="22"/>
          <w:szCs w:val="22"/>
          <w:lang w:val="bs-Latn-BA"/>
        </w:rPr>
      </w:pPr>
    </w:p>
    <w:p w:rsidR="007A725A" w:rsidRPr="007D3DD7" w:rsidRDefault="00D40BF2" w:rsidP="00D40BF2">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Č</w:t>
      </w:r>
      <w:r w:rsidR="007A725A" w:rsidRPr="007D3DD7">
        <w:rPr>
          <w:rFonts w:asciiTheme="majorHAnsi" w:hAnsiTheme="majorHAnsi"/>
          <w:sz w:val="22"/>
          <w:szCs w:val="22"/>
          <w:lang w:val="bs-Latn-BA"/>
        </w:rPr>
        <w:t xml:space="preserve">lan 12. stav 2. </w:t>
      </w:r>
      <w:r w:rsidRPr="007D3DD7">
        <w:rPr>
          <w:rFonts w:asciiTheme="majorHAnsi" w:hAnsiTheme="majorHAnsi"/>
          <w:sz w:val="22"/>
          <w:szCs w:val="22"/>
          <w:lang w:val="bs-Latn-BA"/>
        </w:rPr>
        <w:t xml:space="preserve">Uredbe </w:t>
      </w:r>
      <w:r w:rsidR="007A725A" w:rsidRPr="007D3DD7">
        <w:rPr>
          <w:rFonts w:asciiTheme="majorHAnsi" w:hAnsiTheme="majorHAnsi"/>
          <w:sz w:val="22"/>
          <w:szCs w:val="22"/>
          <w:lang w:val="bs-Latn-BA"/>
        </w:rPr>
        <w:t xml:space="preserve">takođe </w:t>
      </w:r>
      <w:r w:rsidRPr="007D3DD7">
        <w:rPr>
          <w:rFonts w:asciiTheme="majorHAnsi" w:hAnsiTheme="majorHAnsi"/>
          <w:sz w:val="22"/>
          <w:szCs w:val="22"/>
          <w:lang w:val="bs-Latn-BA"/>
        </w:rPr>
        <w:t xml:space="preserve">je </w:t>
      </w:r>
      <w:r w:rsidR="007A725A" w:rsidRPr="007D3DD7">
        <w:rPr>
          <w:rFonts w:asciiTheme="majorHAnsi" w:hAnsiTheme="majorHAnsi"/>
          <w:sz w:val="22"/>
          <w:szCs w:val="22"/>
          <w:lang w:val="bs-Latn-BA"/>
        </w:rPr>
        <w:t>izmjenjen a odnosi se na članove Savjeta za nauku Federalnog ministarstva obrazovanja i nauke, na koje se uredba ne primjenju</w:t>
      </w:r>
      <w:r w:rsidR="00182B4F" w:rsidRPr="007D3DD7">
        <w:rPr>
          <w:rFonts w:asciiTheme="majorHAnsi" w:hAnsiTheme="majorHAnsi"/>
          <w:sz w:val="22"/>
          <w:szCs w:val="22"/>
          <w:lang w:val="bs-Latn-BA"/>
        </w:rPr>
        <w:t>j</w:t>
      </w:r>
      <w:r w:rsidR="007A725A" w:rsidRPr="007D3DD7">
        <w:rPr>
          <w:rFonts w:asciiTheme="majorHAnsi" w:hAnsiTheme="majorHAnsi"/>
          <w:sz w:val="22"/>
          <w:szCs w:val="22"/>
          <w:lang w:val="bs-Latn-BA"/>
        </w:rPr>
        <w:t xml:space="preserve">e u dijelu koji se odnosi na broj članova, način izvještavanja </w:t>
      </w:r>
      <w:r w:rsidR="00182B4F" w:rsidRPr="007D3DD7">
        <w:rPr>
          <w:rFonts w:asciiTheme="majorHAnsi" w:hAnsiTheme="majorHAnsi"/>
          <w:sz w:val="22"/>
          <w:szCs w:val="22"/>
          <w:lang w:val="bs-Latn-BA"/>
        </w:rPr>
        <w:t>te utvrđivanja prava na naknadu i</w:t>
      </w:r>
      <w:r w:rsidR="007A725A" w:rsidRPr="007D3DD7">
        <w:rPr>
          <w:rFonts w:asciiTheme="majorHAnsi" w:hAnsiTheme="majorHAnsi"/>
          <w:sz w:val="22"/>
          <w:szCs w:val="22"/>
          <w:lang w:val="bs-Latn-BA"/>
        </w:rPr>
        <w:t xml:space="preserve"> visinu naknade, s tim da naknada i visina ne može biti veća od 350 KM umjesto ranije 500 KM.</w:t>
      </w:r>
    </w:p>
    <w:p w:rsidR="007A725A" w:rsidRPr="007D3DD7" w:rsidRDefault="007A725A" w:rsidP="00976929">
      <w:pPr>
        <w:spacing w:before="60" w:after="60"/>
        <w:rPr>
          <w:rFonts w:asciiTheme="majorHAnsi" w:hAnsiTheme="majorHAnsi"/>
          <w:sz w:val="22"/>
          <w:szCs w:val="22"/>
          <w:lang w:val="bs-Latn-BA"/>
        </w:rPr>
      </w:pPr>
    </w:p>
    <w:p w:rsidR="00976929" w:rsidRPr="007D3DD7" w:rsidRDefault="00584214"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EU-HRM</w:t>
      </w:r>
      <w:r w:rsidR="00976929" w:rsidRPr="007D3DD7">
        <w:rPr>
          <w:rFonts w:asciiTheme="majorHAnsi" w:hAnsiTheme="majorHAnsi"/>
          <w:sz w:val="22"/>
          <w:szCs w:val="22"/>
          <w:lang w:val="bs-Latn-BA"/>
        </w:rPr>
        <w:t xml:space="preserve"> projekat je </w:t>
      </w:r>
      <w:r w:rsidR="00C004B5" w:rsidRPr="007D3DD7">
        <w:rPr>
          <w:rFonts w:asciiTheme="majorHAnsi" w:hAnsiTheme="majorHAnsi"/>
          <w:sz w:val="22"/>
          <w:szCs w:val="22"/>
          <w:lang w:val="bs-Latn-BA"/>
        </w:rPr>
        <w:t xml:space="preserve">bio aktivan i u ovoj oblasti. Naime, projektni tim je </w:t>
      </w:r>
      <w:r w:rsidR="00976929" w:rsidRPr="007D3DD7">
        <w:rPr>
          <w:rFonts w:asciiTheme="majorHAnsi" w:hAnsiTheme="majorHAnsi"/>
          <w:sz w:val="22"/>
          <w:szCs w:val="22"/>
          <w:lang w:val="bs-Latn-BA"/>
        </w:rPr>
        <w:t>testirao metodologiju za analitičku procjenu radnih mjesta u dr</w:t>
      </w:r>
      <w:r w:rsidR="00C004B5" w:rsidRPr="007D3DD7">
        <w:rPr>
          <w:rFonts w:asciiTheme="majorHAnsi" w:hAnsiTheme="majorHAnsi"/>
          <w:sz w:val="22"/>
          <w:szCs w:val="22"/>
          <w:lang w:val="bs-Latn-BA"/>
        </w:rPr>
        <w:t>žavnoj službi Vlade BD</w:t>
      </w:r>
      <w:r w:rsidR="00976929" w:rsidRPr="007D3DD7">
        <w:rPr>
          <w:rFonts w:asciiTheme="majorHAnsi" w:hAnsiTheme="majorHAnsi"/>
          <w:sz w:val="22"/>
          <w:szCs w:val="22"/>
          <w:lang w:val="bs-Latn-BA"/>
        </w:rPr>
        <w:t xml:space="preserve"> čiji rezultati bi se mogli iskoristiti pri izradi sistema plaća i Zakona o plaćama. U sklopu izrade metodologije za analizu i analitičku procjenu radnih mjesta </w:t>
      </w:r>
      <w:r w:rsidR="00D40BF2" w:rsidRPr="007D3DD7">
        <w:rPr>
          <w:rFonts w:asciiTheme="majorHAnsi" w:hAnsiTheme="majorHAnsi"/>
          <w:sz w:val="22"/>
          <w:szCs w:val="22"/>
          <w:lang w:val="bs-Latn-BA"/>
        </w:rPr>
        <w:t xml:space="preserve">u Brčko Distriktu </w:t>
      </w:r>
      <w:r w:rsidR="00976929" w:rsidRPr="007D3DD7">
        <w:rPr>
          <w:rFonts w:asciiTheme="majorHAnsi" w:hAnsiTheme="majorHAnsi"/>
          <w:sz w:val="22"/>
          <w:szCs w:val="22"/>
          <w:lang w:val="bs-Latn-BA"/>
        </w:rPr>
        <w:t>analizira</w:t>
      </w:r>
      <w:r w:rsidR="00C004B5" w:rsidRPr="007D3DD7">
        <w:rPr>
          <w:rFonts w:asciiTheme="majorHAnsi" w:hAnsiTheme="majorHAnsi"/>
          <w:sz w:val="22"/>
          <w:szCs w:val="22"/>
          <w:lang w:val="bs-Latn-BA"/>
        </w:rPr>
        <w:t>n</w:t>
      </w:r>
      <w:r w:rsidR="00976929" w:rsidRPr="007D3DD7">
        <w:rPr>
          <w:rFonts w:asciiTheme="majorHAnsi" w:hAnsiTheme="majorHAnsi"/>
          <w:sz w:val="22"/>
          <w:szCs w:val="22"/>
          <w:lang w:val="bs-Latn-BA"/>
        </w:rPr>
        <w:t xml:space="preserve">o </w:t>
      </w:r>
      <w:r w:rsidR="00C004B5" w:rsidRPr="007D3DD7">
        <w:rPr>
          <w:rFonts w:asciiTheme="majorHAnsi" w:hAnsiTheme="majorHAnsi"/>
          <w:sz w:val="22"/>
          <w:szCs w:val="22"/>
          <w:lang w:val="bs-Latn-BA"/>
        </w:rPr>
        <w:t xml:space="preserve">je ukupno </w:t>
      </w:r>
      <w:r w:rsidR="00976929" w:rsidRPr="007D3DD7">
        <w:rPr>
          <w:rFonts w:asciiTheme="majorHAnsi" w:hAnsiTheme="majorHAnsi"/>
          <w:sz w:val="22"/>
          <w:szCs w:val="22"/>
          <w:lang w:val="bs-Latn-BA"/>
        </w:rPr>
        <w:t>45 radnih mjesta. Kako je već navedeno u dijelu o analizi i analitičkoj procjeni radnih mjesta, Zakonodavni ured Brčko Distrikta BiH bio je mišljenja da Zakon o državnoj službi ne daje pravni osnov za uvođenje analize radnih mjesta i njegovo regulisanje u podzakonskim aktima, pa stoga prijedlog uvođenja analize radnih mjesta nije prihvaćen.</w:t>
      </w:r>
    </w:p>
    <w:p w:rsidR="00976929" w:rsidRPr="007D3DD7" w:rsidRDefault="00976929" w:rsidP="00976929">
      <w:pPr>
        <w:spacing w:before="60" w:after="60"/>
        <w:rPr>
          <w:rFonts w:asciiTheme="majorHAnsi" w:hAnsiTheme="majorHAnsi"/>
          <w:sz w:val="22"/>
          <w:szCs w:val="22"/>
          <w:lang w:val="bs-Latn-BA"/>
        </w:rPr>
      </w:pPr>
    </w:p>
    <w:p w:rsidR="00976929" w:rsidRPr="007D3DD7" w:rsidRDefault="00976929" w:rsidP="0041049B">
      <w:pPr>
        <w:pStyle w:val="NoSpacing"/>
        <w:spacing w:before="240"/>
        <w:ind w:right="-6"/>
        <w:rPr>
          <w:rFonts w:asciiTheme="majorHAnsi" w:hAnsiTheme="majorHAnsi"/>
          <w:b/>
          <w:i/>
          <w:lang w:val="bs-Latn-BA"/>
        </w:rPr>
      </w:pPr>
      <w:r w:rsidRPr="0041049B">
        <w:rPr>
          <w:b/>
          <w:lang w:val="bs-Latn-BA"/>
        </w:rPr>
        <w:t>Profesionalni razvoj</w:t>
      </w:r>
    </w:p>
    <w:p w:rsidR="00B31AB3" w:rsidRPr="007D3DD7" w:rsidRDefault="00B31AB3"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Kontinuirano obučavanje i usavršavanje državnih službenika je ključni faktor za efikasno funkcioniranje svake institucije, pri čemu treba voditi računa da pored obuka, iako se najviše koristi kao način kontinuiranog usavršavanja, postoje brojni drugi vidovi usavršavanja, kao što su mentorstvo, samostalno učenje, razne vrste studijskih posjeta i</w:t>
      </w:r>
      <w:r w:rsidR="00C004B5" w:rsidRPr="007D3DD7">
        <w:rPr>
          <w:rFonts w:asciiTheme="majorHAnsi" w:hAnsiTheme="majorHAnsi"/>
          <w:sz w:val="22"/>
          <w:szCs w:val="22"/>
          <w:lang w:val="bs-Latn-BA"/>
        </w:rPr>
        <w:t xml:space="preserve"> drugi slični vidovi sticanja kompetencija.</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U protekloj godini strukture javne uprave u BiH navele su da je održan veliki </w:t>
      </w:r>
      <w:r w:rsidR="00C004B5" w:rsidRPr="007D3DD7">
        <w:rPr>
          <w:rFonts w:asciiTheme="majorHAnsi" w:hAnsiTheme="majorHAnsi"/>
          <w:sz w:val="22"/>
          <w:szCs w:val="22"/>
          <w:lang w:val="bs-Latn-BA"/>
        </w:rPr>
        <w:t xml:space="preserve">broj stručnih obuka. </w:t>
      </w:r>
      <w:r w:rsidRPr="007D3DD7">
        <w:rPr>
          <w:rFonts w:asciiTheme="majorHAnsi" w:hAnsiTheme="majorHAnsi"/>
          <w:sz w:val="22"/>
          <w:szCs w:val="22"/>
          <w:lang w:val="bs-Latn-BA"/>
        </w:rPr>
        <w:t xml:space="preserve">Završni izvještaj projekta </w:t>
      </w:r>
      <w:r w:rsidR="00584214" w:rsidRPr="007D3DD7">
        <w:rPr>
          <w:rFonts w:asciiTheme="majorHAnsi" w:hAnsiTheme="majorHAnsi"/>
          <w:sz w:val="22"/>
          <w:szCs w:val="22"/>
          <w:lang w:val="bs-Latn-BA"/>
        </w:rPr>
        <w:t>EU-HRM</w:t>
      </w:r>
      <w:r w:rsidRPr="007D3DD7">
        <w:rPr>
          <w:rFonts w:asciiTheme="majorHAnsi" w:hAnsiTheme="majorHAnsi"/>
          <w:sz w:val="22"/>
          <w:szCs w:val="22"/>
          <w:lang w:val="bs-Latn-BA"/>
        </w:rPr>
        <w:t xml:space="preserve"> navodi brojku od 600 državnih službenika koji su prošli </w:t>
      </w:r>
      <w:r w:rsidR="00C004B5" w:rsidRPr="007D3DD7">
        <w:rPr>
          <w:rFonts w:asciiTheme="majorHAnsi" w:hAnsiTheme="majorHAnsi"/>
          <w:sz w:val="22"/>
          <w:szCs w:val="22"/>
          <w:lang w:val="bs-Latn-BA"/>
        </w:rPr>
        <w:t xml:space="preserve">različite </w:t>
      </w:r>
      <w:r w:rsidRPr="007D3DD7">
        <w:rPr>
          <w:rFonts w:asciiTheme="majorHAnsi" w:hAnsiTheme="majorHAnsi"/>
          <w:sz w:val="22"/>
          <w:szCs w:val="22"/>
          <w:lang w:val="bs-Latn-BA"/>
        </w:rPr>
        <w:t xml:space="preserve">programe obuke </w:t>
      </w:r>
      <w:r w:rsidR="00C004B5" w:rsidRPr="007D3DD7">
        <w:rPr>
          <w:rFonts w:asciiTheme="majorHAnsi" w:hAnsiTheme="majorHAnsi"/>
          <w:sz w:val="22"/>
          <w:szCs w:val="22"/>
          <w:lang w:val="bs-Latn-BA"/>
        </w:rPr>
        <w:t xml:space="preserve">iz HRM-a </w:t>
      </w:r>
      <w:r w:rsidR="00DF6267" w:rsidRPr="007D3DD7">
        <w:rPr>
          <w:rFonts w:asciiTheme="majorHAnsi" w:hAnsiTheme="majorHAnsi"/>
          <w:sz w:val="22"/>
          <w:szCs w:val="22"/>
          <w:lang w:val="bs-Latn-BA"/>
        </w:rPr>
        <w:t>kroz seminare,</w:t>
      </w:r>
      <w:r w:rsidRPr="007D3DD7">
        <w:rPr>
          <w:rFonts w:asciiTheme="majorHAnsi" w:hAnsiTheme="majorHAnsi"/>
          <w:sz w:val="22"/>
          <w:szCs w:val="22"/>
          <w:lang w:val="bs-Latn-BA"/>
        </w:rPr>
        <w:t xml:space="preserve"> </w:t>
      </w:r>
      <w:r w:rsidR="00DF6267" w:rsidRPr="007D3DD7">
        <w:rPr>
          <w:rFonts w:asciiTheme="majorHAnsi" w:hAnsiTheme="majorHAnsi"/>
          <w:sz w:val="22"/>
          <w:szCs w:val="22"/>
          <w:lang w:val="bs-Latn-BA"/>
        </w:rPr>
        <w:t>radionice</w:t>
      </w:r>
      <w:r w:rsidRPr="007D3DD7">
        <w:rPr>
          <w:rFonts w:asciiTheme="majorHAnsi" w:hAnsiTheme="majorHAnsi"/>
          <w:sz w:val="22"/>
          <w:szCs w:val="22"/>
          <w:lang w:val="bs-Latn-BA"/>
        </w:rPr>
        <w:t>,</w:t>
      </w:r>
      <w:r w:rsidR="00DF6267" w:rsidRPr="007D3DD7">
        <w:rPr>
          <w:rFonts w:asciiTheme="majorHAnsi" w:hAnsiTheme="majorHAnsi"/>
          <w:sz w:val="22"/>
          <w:szCs w:val="22"/>
          <w:lang w:val="bs-Latn-BA"/>
        </w:rPr>
        <w:t xml:space="preserve"> konferencije, okrugle stolove </w:t>
      </w:r>
      <w:r w:rsidR="00C004B5" w:rsidRPr="007D3DD7">
        <w:rPr>
          <w:rFonts w:asciiTheme="majorHAnsi" w:hAnsiTheme="majorHAnsi"/>
          <w:sz w:val="22"/>
          <w:szCs w:val="22"/>
          <w:lang w:val="bs-Latn-BA"/>
        </w:rPr>
        <w:t xml:space="preserve">i </w:t>
      </w:r>
      <w:r w:rsidR="00DF6267" w:rsidRPr="007D3DD7">
        <w:rPr>
          <w:rFonts w:asciiTheme="majorHAnsi" w:hAnsiTheme="majorHAnsi"/>
          <w:sz w:val="22"/>
          <w:szCs w:val="22"/>
          <w:lang w:val="bs-Latn-BA"/>
        </w:rPr>
        <w:t>studijske posjete</w:t>
      </w:r>
      <w:r w:rsidR="00C004B5" w:rsidRPr="007D3DD7">
        <w:rPr>
          <w:rFonts w:asciiTheme="majorHAnsi" w:hAnsiTheme="majorHAnsi"/>
          <w:sz w:val="22"/>
          <w:szCs w:val="22"/>
          <w:lang w:val="bs-Latn-BA"/>
        </w:rPr>
        <w:t xml:space="preserve">. </w:t>
      </w:r>
      <w:r w:rsidR="00DF6267" w:rsidRPr="007D3DD7">
        <w:rPr>
          <w:rFonts w:asciiTheme="majorHAnsi" w:hAnsiTheme="majorHAnsi"/>
          <w:sz w:val="22"/>
          <w:szCs w:val="22"/>
          <w:lang w:val="bs-Latn-BA"/>
        </w:rPr>
        <w:t>Također, provedena je i obuka</w:t>
      </w:r>
      <w:r w:rsidRPr="007D3DD7">
        <w:rPr>
          <w:rFonts w:asciiTheme="majorHAnsi" w:hAnsiTheme="majorHAnsi"/>
          <w:sz w:val="22"/>
          <w:szCs w:val="22"/>
          <w:lang w:val="bs-Latn-BA"/>
        </w:rPr>
        <w:t xml:space="preserve"> </w:t>
      </w:r>
      <w:r w:rsidR="00DF6267" w:rsidRPr="007D3DD7">
        <w:rPr>
          <w:rFonts w:asciiTheme="majorHAnsi" w:hAnsiTheme="majorHAnsi"/>
          <w:sz w:val="22"/>
          <w:szCs w:val="22"/>
          <w:lang w:val="bs-Latn-BA"/>
        </w:rPr>
        <w:t xml:space="preserve">za </w:t>
      </w:r>
      <w:r w:rsidRPr="007D3DD7">
        <w:rPr>
          <w:rFonts w:asciiTheme="majorHAnsi" w:hAnsiTheme="majorHAnsi"/>
          <w:sz w:val="22"/>
          <w:szCs w:val="22"/>
          <w:lang w:val="bs-Latn-BA"/>
        </w:rPr>
        <w:t xml:space="preserve">20 novih predavača/trenera </w:t>
      </w:r>
      <w:r w:rsidR="00DF6267" w:rsidRPr="007D3DD7">
        <w:rPr>
          <w:rFonts w:asciiTheme="majorHAnsi" w:hAnsiTheme="majorHAnsi"/>
          <w:sz w:val="22"/>
          <w:szCs w:val="22"/>
          <w:lang w:val="bs-Latn-BA"/>
        </w:rPr>
        <w:t>n</w:t>
      </w:r>
      <w:r w:rsidRPr="007D3DD7">
        <w:rPr>
          <w:rFonts w:asciiTheme="majorHAnsi" w:hAnsiTheme="majorHAnsi"/>
          <w:sz w:val="22"/>
          <w:szCs w:val="22"/>
          <w:lang w:val="bs-Latn-BA"/>
        </w:rPr>
        <w:t xml:space="preserve">a sva četiri upravna nivoa </w:t>
      </w:r>
      <w:r w:rsidR="00DF6267" w:rsidRPr="007D3DD7">
        <w:rPr>
          <w:rFonts w:asciiTheme="majorHAnsi" w:hAnsiTheme="majorHAnsi"/>
          <w:sz w:val="22"/>
          <w:szCs w:val="22"/>
          <w:lang w:val="bs-Latn-BA"/>
        </w:rPr>
        <w:t>čiji se zadatak da nastave</w:t>
      </w:r>
      <w:r w:rsidRPr="007D3DD7">
        <w:rPr>
          <w:rFonts w:asciiTheme="majorHAnsi" w:hAnsiTheme="majorHAnsi"/>
          <w:sz w:val="22"/>
          <w:szCs w:val="22"/>
          <w:lang w:val="bs-Latn-BA"/>
        </w:rPr>
        <w:t xml:space="preserve"> prenos znanja</w:t>
      </w:r>
      <w:r w:rsidR="00DF6267" w:rsidRPr="007D3DD7">
        <w:rPr>
          <w:rFonts w:asciiTheme="majorHAnsi" w:hAnsiTheme="majorHAnsi"/>
          <w:sz w:val="22"/>
          <w:szCs w:val="22"/>
          <w:lang w:val="bs-Latn-BA"/>
        </w:rPr>
        <w:t xml:space="preserve"> unutar držav</w:t>
      </w:r>
      <w:r w:rsidRPr="007D3DD7">
        <w:rPr>
          <w:rFonts w:asciiTheme="majorHAnsi" w:hAnsiTheme="majorHAnsi"/>
          <w:sz w:val="22"/>
          <w:szCs w:val="22"/>
          <w:lang w:val="bs-Latn-BA"/>
        </w:rPr>
        <w:t xml:space="preserve">ne službe BiH. </w:t>
      </w:r>
    </w:p>
    <w:p w:rsidR="00976929" w:rsidRPr="007D3DD7" w:rsidRDefault="00976929" w:rsidP="00976929">
      <w:pPr>
        <w:spacing w:before="60" w:after="60"/>
        <w:jc w:val="both"/>
        <w:rPr>
          <w:rFonts w:asciiTheme="majorHAnsi" w:hAnsiTheme="majorHAnsi"/>
          <w:sz w:val="22"/>
          <w:szCs w:val="22"/>
          <w:lang w:val="bs-Latn-BA"/>
        </w:rPr>
      </w:pPr>
    </w:p>
    <w:p w:rsidR="00DF6267" w:rsidRPr="007D3DD7" w:rsidRDefault="00976929" w:rsidP="00DF6267">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U odgovorima iz upitnika nešto manje od polovine institucija su navele određene aktivnosti, između ostalog izradu i/ili usvajanje planova obuka i učestvovanje u programima tehničke pomoći. </w:t>
      </w:r>
      <w:r w:rsidR="00DF6267" w:rsidRPr="007D3DD7">
        <w:rPr>
          <w:rFonts w:asciiTheme="majorHAnsi" w:hAnsiTheme="majorHAnsi"/>
          <w:sz w:val="22"/>
          <w:szCs w:val="22"/>
          <w:lang w:val="bs-Latn-BA"/>
        </w:rPr>
        <w:t>Tako je ADU RS pripremio i usvojio Okvirni plan obuka za zaposlene u rеpubličkim оrgаnimа uprаvе Rеpublikе Srpskе zа pеriоd 2015-2018. Očekivanja su da bi ovaj plan trebao da rezultira većim brojem ciljanih obuka.</w:t>
      </w:r>
    </w:p>
    <w:p w:rsidR="00976929" w:rsidRPr="007D3DD7" w:rsidRDefault="00976929" w:rsidP="00976929">
      <w:pPr>
        <w:spacing w:before="60" w:after="60"/>
        <w:jc w:val="both"/>
        <w:rPr>
          <w:rFonts w:asciiTheme="majorHAnsi" w:hAnsiTheme="majorHAnsi"/>
          <w:sz w:val="22"/>
          <w:szCs w:val="22"/>
          <w:lang w:val="bs-Latn-BA"/>
        </w:rPr>
      </w:pPr>
    </w:p>
    <w:p w:rsidR="00B31AB3"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ADS FBiH navodi puštanje </w:t>
      </w:r>
      <w:r w:rsidR="00DF6267" w:rsidRPr="007D3DD7">
        <w:rPr>
          <w:rFonts w:asciiTheme="majorHAnsi" w:hAnsiTheme="majorHAnsi"/>
          <w:sz w:val="22"/>
          <w:szCs w:val="22"/>
          <w:lang w:val="bs-Latn-BA"/>
        </w:rPr>
        <w:t xml:space="preserve">u funkciju elektronske prijave za pohađanje obuka čime se </w:t>
      </w:r>
      <w:r w:rsidRPr="007D3DD7">
        <w:rPr>
          <w:rFonts w:asciiTheme="majorHAnsi" w:hAnsiTheme="majorHAnsi"/>
          <w:sz w:val="22"/>
          <w:szCs w:val="22"/>
          <w:lang w:val="bs-Latn-BA"/>
        </w:rPr>
        <w:t xml:space="preserve"> </w:t>
      </w:r>
      <w:r w:rsidR="00DF6267" w:rsidRPr="007D3DD7">
        <w:rPr>
          <w:rFonts w:asciiTheme="majorHAnsi" w:hAnsiTheme="majorHAnsi"/>
          <w:sz w:val="22"/>
          <w:szCs w:val="22"/>
          <w:lang w:val="bs-Latn-BA"/>
        </w:rPr>
        <w:t>olakšava prijavljivanje kandidata</w:t>
      </w:r>
      <w:r w:rsidRPr="007D3DD7">
        <w:rPr>
          <w:rFonts w:asciiTheme="majorHAnsi" w:hAnsiTheme="majorHAnsi"/>
          <w:sz w:val="22"/>
          <w:szCs w:val="22"/>
          <w:lang w:val="bs-Latn-BA"/>
        </w:rPr>
        <w:t>, te ostvaruju uštede u vremenu i materijalima u pripremi obuke</w:t>
      </w:r>
      <w:r w:rsidR="00DF6267" w:rsidRPr="007D3DD7">
        <w:rPr>
          <w:rFonts w:asciiTheme="majorHAnsi" w:hAnsiTheme="majorHAnsi"/>
          <w:sz w:val="22"/>
          <w:szCs w:val="22"/>
          <w:lang w:val="bs-Latn-BA"/>
        </w:rPr>
        <w:t xml:space="preserve">. </w:t>
      </w:r>
      <w:r w:rsidR="00B31AB3" w:rsidRPr="007D3DD7">
        <w:rPr>
          <w:rFonts w:asciiTheme="majorHAnsi" w:hAnsiTheme="majorHAnsi"/>
          <w:sz w:val="22"/>
          <w:szCs w:val="22"/>
          <w:lang w:val="bs-Latn-BA"/>
        </w:rPr>
        <w:t>Također, ova institucija je provela anketu sa zaposlenima u Agenciji u cilju analize potreba za obukom i pripreme što adekvatnijeg prijedloga plana stručnog osposobljavanja i usavršavanja državnih službenika i namještenika u Agenciji za državnu službu Federacije BiH.</w:t>
      </w:r>
    </w:p>
    <w:p w:rsidR="00B31AB3" w:rsidRPr="007D3DD7" w:rsidRDefault="00B31AB3" w:rsidP="00976929">
      <w:pPr>
        <w:spacing w:before="60" w:after="60"/>
        <w:jc w:val="both"/>
        <w:rPr>
          <w:rFonts w:asciiTheme="majorHAnsi" w:hAnsiTheme="majorHAnsi"/>
          <w:sz w:val="22"/>
          <w:szCs w:val="22"/>
          <w:lang w:val="bs-Latn-BA"/>
        </w:rPr>
      </w:pPr>
    </w:p>
    <w:p w:rsidR="00976929" w:rsidRPr="007D3DD7" w:rsidRDefault="00DF6267"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lastRenderedPageBreak/>
        <w:t>Generalno, aktivnosti većine pojedinačnih institucija svode se na pohađanje obuka u organizaciji centralnih HRM institucija.</w:t>
      </w:r>
      <w:r w:rsidR="00B31AB3" w:rsidRPr="007D3DD7">
        <w:rPr>
          <w:rFonts w:asciiTheme="majorHAnsi" w:hAnsiTheme="majorHAnsi"/>
          <w:sz w:val="22"/>
          <w:szCs w:val="22"/>
          <w:lang w:val="bs-Latn-BA"/>
        </w:rPr>
        <w:t xml:space="preserve"> </w:t>
      </w:r>
      <w:r w:rsidR="00976929" w:rsidRPr="007D3DD7">
        <w:rPr>
          <w:rFonts w:asciiTheme="majorHAnsi" w:hAnsiTheme="majorHAnsi"/>
          <w:sz w:val="22"/>
          <w:szCs w:val="22"/>
          <w:lang w:val="bs-Latn-BA"/>
        </w:rPr>
        <w:t xml:space="preserve">Još uvijek ne postoji praksa provjere efikasnosti obuke kroz poboljšanja </w:t>
      </w:r>
      <w:r w:rsidRPr="007D3DD7">
        <w:rPr>
          <w:rFonts w:asciiTheme="majorHAnsi" w:hAnsiTheme="majorHAnsi"/>
          <w:sz w:val="22"/>
          <w:szCs w:val="22"/>
          <w:lang w:val="bs-Latn-BA"/>
        </w:rPr>
        <w:t xml:space="preserve">učinkovitosti </w:t>
      </w:r>
      <w:r w:rsidR="00976929" w:rsidRPr="007D3DD7">
        <w:rPr>
          <w:rFonts w:asciiTheme="majorHAnsi" w:hAnsiTheme="majorHAnsi"/>
          <w:sz w:val="22"/>
          <w:szCs w:val="22"/>
          <w:lang w:val="bs-Latn-BA"/>
        </w:rPr>
        <w:t>u radu</w:t>
      </w:r>
      <w:r w:rsidRPr="007D3DD7">
        <w:rPr>
          <w:rFonts w:asciiTheme="majorHAnsi" w:hAnsiTheme="majorHAnsi"/>
          <w:sz w:val="22"/>
          <w:szCs w:val="22"/>
          <w:lang w:val="bs-Latn-BA"/>
        </w:rPr>
        <w:t>. Ovo je praksa koja se temelji na ozbiljnom pristupu ocjenjivanju</w:t>
      </w:r>
      <w:r w:rsidR="00976929" w:rsidRPr="007D3DD7">
        <w:rPr>
          <w:rFonts w:asciiTheme="majorHAnsi" w:hAnsiTheme="majorHAnsi"/>
          <w:sz w:val="22"/>
          <w:szCs w:val="22"/>
          <w:lang w:val="bs-Latn-BA"/>
        </w:rPr>
        <w:t xml:space="preserve"> rada, što </w:t>
      </w:r>
      <w:r w:rsidRPr="007D3DD7">
        <w:rPr>
          <w:rFonts w:asciiTheme="majorHAnsi" w:hAnsiTheme="majorHAnsi"/>
          <w:sz w:val="22"/>
          <w:szCs w:val="22"/>
          <w:lang w:val="bs-Latn-BA"/>
        </w:rPr>
        <w:t xml:space="preserve">nažalost </w:t>
      </w:r>
      <w:r w:rsidR="00B31AB3" w:rsidRPr="007D3DD7">
        <w:rPr>
          <w:rFonts w:asciiTheme="majorHAnsi" w:hAnsiTheme="majorHAnsi"/>
          <w:sz w:val="22"/>
          <w:szCs w:val="22"/>
          <w:lang w:val="bs-Latn-BA"/>
        </w:rPr>
        <w:t xml:space="preserve">nije slučaj u strukturama državne službe u BiH. </w:t>
      </w:r>
    </w:p>
    <w:p w:rsidR="00976929" w:rsidRPr="007D3DD7" w:rsidRDefault="00976929" w:rsidP="00976929">
      <w:pPr>
        <w:pStyle w:val="Heading3"/>
        <w:spacing w:before="60"/>
        <w:jc w:val="both"/>
        <w:rPr>
          <w:rFonts w:asciiTheme="majorHAnsi" w:hAnsiTheme="majorHAnsi"/>
          <w:sz w:val="22"/>
          <w:szCs w:val="22"/>
          <w:lang w:val="bs-Latn-BA"/>
        </w:rPr>
      </w:pPr>
    </w:p>
    <w:p w:rsidR="00976929" w:rsidRPr="0041049B" w:rsidRDefault="00976929" w:rsidP="0041049B">
      <w:pPr>
        <w:pStyle w:val="NoSpacing"/>
        <w:spacing w:before="240"/>
        <w:ind w:right="-6"/>
        <w:rPr>
          <w:b/>
          <w:lang w:val="bs-Latn-BA"/>
        </w:rPr>
      </w:pPr>
      <w:r w:rsidRPr="0041049B">
        <w:rPr>
          <w:b/>
          <w:lang w:val="bs-Latn-BA"/>
        </w:rPr>
        <w:t>Upravljanje totalnim kvalitetom</w:t>
      </w:r>
    </w:p>
    <w:p w:rsidR="00B31AB3" w:rsidRPr="007D3DD7" w:rsidRDefault="00B31AB3"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Upravljanje totalnim kvalitetom (TQM) je koncept koji se zasniva na težnji institucije da osigura visok kvalitet usluga krajnjem korisniku kroz odnos prema poslu i njegovu organizaciju</w:t>
      </w:r>
      <w:r w:rsidR="00B31AB3" w:rsidRPr="007D3DD7">
        <w:rPr>
          <w:rFonts w:asciiTheme="majorHAnsi" w:hAnsiTheme="majorHAnsi"/>
          <w:sz w:val="22"/>
          <w:szCs w:val="22"/>
          <w:lang w:val="bs-Latn-BA"/>
        </w:rPr>
        <w:t>.</w:t>
      </w:r>
      <w:r w:rsidRPr="007D3DD7">
        <w:rPr>
          <w:rFonts w:asciiTheme="majorHAnsi" w:hAnsiTheme="majorHAnsi"/>
          <w:sz w:val="22"/>
          <w:szCs w:val="22"/>
          <w:lang w:val="bs-Latn-BA"/>
        </w:rPr>
        <w:t xml:space="preserve"> Iako je u RJU u BiH prvi puta uveden kroz RAP 1 (2011. godine) dosta ispitanika iz institucija u BiH nije bila upoznata s ovim konceptom niti sa eventualnim aktivnostima poduzetim na ovom planu. </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autoSpaceDE w:val="0"/>
        <w:autoSpaceDN w:val="0"/>
        <w:adjustRightInd w:val="0"/>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Ured koordinatora je tokom proteklog perioda nastavio saradnju sa Njemačkim društvom za međunarodnu saradnju (GIZ) na pripremi okvira za uvođenje TQM. </w:t>
      </w:r>
      <w:r w:rsidR="000C7B7F" w:rsidRPr="007D3DD7">
        <w:rPr>
          <w:rFonts w:asciiTheme="majorHAnsi" w:hAnsiTheme="majorHAnsi"/>
          <w:sz w:val="22"/>
          <w:szCs w:val="22"/>
          <w:lang w:val="bs-Latn-BA"/>
        </w:rPr>
        <w:t>Vijeće ministara BiH je na 23. sjednici, održanoj 15.9.2015. usvojilo Godišnji izvještaj o provedbi Sporazuma o implementaciji Programa jačanja javnih institucija u BiH - faza II, između Ureda koordinatora i GIZ-a i zaključke koji se odnose na podršku daljnjim aktivnostima na uvođenju predloženih modela upravljanja kvalitetom u institucijama BiH (CAF i modeli zasnovani na ISO 9001:2008 sistemu), pripremu okvirnog planskog dokumenta za uvođenje upravljanja kvalitetom u institucijama BiH i koordinaciju njegove implementacije, te izvještavanje. Slijedom usvojenih zaključaka, na konferenciji organiziranoj u saradnji Ureda koordinatora, GIZ-a i E</w:t>
      </w:r>
      <w:r w:rsidR="00182B4F" w:rsidRPr="007D3DD7">
        <w:rPr>
          <w:rFonts w:asciiTheme="majorHAnsi" w:hAnsiTheme="majorHAnsi"/>
          <w:sz w:val="22"/>
          <w:szCs w:val="22"/>
          <w:lang w:val="bs-Latn-BA"/>
        </w:rPr>
        <w:t>vropskog Instituta za javnu upravu (E</w:t>
      </w:r>
      <w:r w:rsidR="000C7B7F" w:rsidRPr="007D3DD7">
        <w:rPr>
          <w:rFonts w:asciiTheme="majorHAnsi" w:hAnsiTheme="majorHAnsi"/>
          <w:sz w:val="22"/>
          <w:szCs w:val="22"/>
          <w:lang w:val="bs-Latn-BA"/>
        </w:rPr>
        <w:t>IPA</w:t>
      </w:r>
      <w:r w:rsidR="00182B4F" w:rsidRPr="007D3DD7">
        <w:rPr>
          <w:rFonts w:asciiTheme="majorHAnsi" w:hAnsiTheme="majorHAnsi"/>
          <w:sz w:val="22"/>
          <w:szCs w:val="22"/>
          <w:lang w:val="bs-Latn-BA"/>
        </w:rPr>
        <w:t>),</w:t>
      </w:r>
      <w:r w:rsidR="000C7B7F" w:rsidRPr="007D3DD7">
        <w:rPr>
          <w:rFonts w:asciiTheme="majorHAnsi" w:hAnsiTheme="majorHAnsi"/>
          <w:sz w:val="22"/>
          <w:szCs w:val="22"/>
          <w:lang w:val="bs-Latn-BA"/>
        </w:rPr>
        <w:t xml:space="preserve"> „Upravljanje kvalitetom – instrument za bolju javnu upravu“ održanoj 27. oktobra 2015. godine u Sarajevu, potpisan je Memorandum o razumijevanju za uspostavljanje saradnje u oblasti upravljanja kvalitetom između Ureda koordinatora, Instituta za standardizaciju BiH i GIZ-a.</w:t>
      </w:r>
    </w:p>
    <w:p w:rsidR="000C7B7F" w:rsidRPr="007D3DD7" w:rsidRDefault="000C7B7F" w:rsidP="00976929">
      <w:pPr>
        <w:autoSpaceDE w:val="0"/>
        <w:autoSpaceDN w:val="0"/>
        <w:adjustRightInd w:val="0"/>
        <w:spacing w:before="60" w:after="60"/>
        <w:jc w:val="both"/>
        <w:rPr>
          <w:rFonts w:asciiTheme="majorHAnsi" w:hAnsiTheme="majorHAnsi"/>
          <w:sz w:val="22"/>
          <w:szCs w:val="22"/>
          <w:lang w:val="bs-Latn-BA"/>
        </w:rPr>
      </w:pPr>
    </w:p>
    <w:p w:rsidR="00976929" w:rsidRPr="007D3DD7" w:rsidRDefault="00976929" w:rsidP="00976929">
      <w:pPr>
        <w:autoSpaceDE w:val="0"/>
        <w:autoSpaceDN w:val="0"/>
        <w:adjustRightInd w:val="0"/>
        <w:spacing w:before="60" w:after="60"/>
        <w:jc w:val="both"/>
        <w:rPr>
          <w:rFonts w:asciiTheme="majorHAnsi" w:hAnsiTheme="majorHAnsi" w:cs="ArialMT"/>
          <w:sz w:val="22"/>
          <w:szCs w:val="22"/>
          <w:lang w:val="bs-Latn-BA" w:eastAsia="bs-Latn-BA"/>
        </w:rPr>
      </w:pPr>
      <w:r w:rsidRPr="007D3DD7">
        <w:rPr>
          <w:rFonts w:asciiTheme="majorHAnsi" w:hAnsiTheme="majorHAnsi" w:cs="ArialMT"/>
          <w:sz w:val="22"/>
          <w:szCs w:val="22"/>
          <w:lang w:val="bs-Latn-BA" w:eastAsia="bs-Latn-BA"/>
        </w:rPr>
        <w:t>U dostavljenom upitniku ADS FBiH navodi konferencije održane u novembru 2015. u Sarajevu u organizaciji PARCO-a i RESPA-e i regionalne radne grupe za upravljanje sistemom kvaliteta u javnoj upravi Zapadnog Balkana u organizaciji RESPA-e na teme mogućnosti primjene sistema kvaliteta u javnom sektoru.</w:t>
      </w:r>
    </w:p>
    <w:p w:rsidR="00976929" w:rsidRPr="007D3DD7" w:rsidRDefault="00976929" w:rsidP="00976929">
      <w:pPr>
        <w:autoSpaceDE w:val="0"/>
        <w:autoSpaceDN w:val="0"/>
        <w:adjustRightInd w:val="0"/>
        <w:spacing w:before="60" w:after="60"/>
        <w:jc w:val="both"/>
        <w:rPr>
          <w:rFonts w:asciiTheme="majorHAnsi" w:hAnsiTheme="majorHAnsi" w:cs="ArialMT"/>
          <w:sz w:val="22"/>
          <w:szCs w:val="22"/>
          <w:lang w:val="bs-Latn-BA" w:eastAsia="bs-Latn-BA"/>
        </w:rPr>
      </w:pPr>
    </w:p>
    <w:p w:rsidR="00976929" w:rsidRPr="007D3DD7" w:rsidRDefault="00976929" w:rsidP="00976929">
      <w:pPr>
        <w:autoSpaceDE w:val="0"/>
        <w:autoSpaceDN w:val="0"/>
        <w:adjustRightInd w:val="0"/>
        <w:spacing w:before="60" w:after="60"/>
        <w:jc w:val="both"/>
        <w:rPr>
          <w:rFonts w:asciiTheme="majorHAnsi" w:hAnsiTheme="majorHAnsi"/>
          <w:sz w:val="22"/>
          <w:szCs w:val="22"/>
          <w:lang w:val="bs-Latn-BA"/>
        </w:rPr>
      </w:pPr>
      <w:r w:rsidRPr="007D3DD7">
        <w:rPr>
          <w:rFonts w:asciiTheme="majorHAnsi" w:hAnsiTheme="majorHAnsi" w:cs="ArialMT"/>
          <w:sz w:val="22"/>
          <w:szCs w:val="22"/>
          <w:lang w:val="bs-Latn-BA" w:eastAsia="bs-Latn-BA"/>
        </w:rPr>
        <w:t xml:space="preserve">Odgovor na pitanja o provedenim aktivnostima u poglavlju o TQM dale su samo tri institucije državnog nivoa i sve aktivnosti vezuju se za njihovo partnerstvo </w:t>
      </w:r>
      <w:r w:rsidR="00B31AB3" w:rsidRPr="007D3DD7">
        <w:rPr>
          <w:rFonts w:asciiTheme="majorHAnsi" w:hAnsiTheme="majorHAnsi" w:cs="ArialMT"/>
          <w:sz w:val="22"/>
          <w:szCs w:val="22"/>
          <w:lang w:val="bs-Latn-BA" w:eastAsia="bs-Latn-BA"/>
        </w:rPr>
        <w:t>sa</w:t>
      </w:r>
      <w:r w:rsidRPr="007D3DD7">
        <w:rPr>
          <w:rFonts w:asciiTheme="majorHAnsi" w:hAnsiTheme="majorHAnsi" w:cs="ArialMT"/>
          <w:sz w:val="22"/>
          <w:szCs w:val="22"/>
          <w:lang w:val="bs-Latn-BA" w:eastAsia="bs-Latn-BA"/>
        </w:rPr>
        <w:t xml:space="preserve"> GIZ-</w:t>
      </w:r>
      <w:r w:rsidR="00B31AB3" w:rsidRPr="007D3DD7">
        <w:rPr>
          <w:rFonts w:asciiTheme="majorHAnsi" w:hAnsiTheme="majorHAnsi" w:cs="ArialMT"/>
          <w:sz w:val="22"/>
          <w:szCs w:val="22"/>
          <w:lang w:val="bs-Latn-BA" w:eastAsia="bs-Latn-BA"/>
        </w:rPr>
        <w:t>om</w:t>
      </w:r>
      <w:r w:rsidRPr="007D3DD7">
        <w:rPr>
          <w:rFonts w:asciiTheme="majorHAnsi" w:hAnsiTheme="majorHAnsi" w:cs="ArialMT"/>
          <w:sz w:val="22"/>
          <w:szCs w:val="22"/>
          <w:lang w:val="bs-Latn-BA" w:eastAsia="bs-Latn-BA"/>
        </w:rPr>
        <w:t xml:space="preserve"> </w:t>
      </w:r>
      <w:r w:rsidR="00B31AB3" w:rsidRPr="007D3DD7">
        <w:rPr>
          <w:rFonts w:asciiTheme="majorHAnsi" w:hAnsiTheme="majorHAnsi" w:cs="ArialMT"/>
          <w:sz w:val="22"/>
          <w:szCs w:val="22"/>
          <w:lang w:val="bs-Latn-BA" w:eastAsia="bs-Latn-BA"/>
        </w:rPr>
        <w:t>na projektu jačanja državnih institucija</w:t>
      </w:r>
      <w:r w:rsidRPr="007D3DD7">
        <w:rPr>
          <w:rFonts w:asciiTheme="majorHAnsi" w:hAnsiTheme="majorHAnsi" w:cs="ArialMT"/>
          <w:sz w:val="22"/>
          <w:szCs w:val="22"/>
          <w:lang w:val="bs-Latn-BA" w:eastAsia="bs-Latn-BA"/>
        </w:rPr>
        <w:t>.</w:t>
      </w:r>
      <w:r w:rsidRPr="007D3DD7">
        <w:rPr>
          <w:rFonts w:asciiTheme="majorHAnsi" w:hAnsiTheme="majorHAnsi"/>
          <w:sz w:val="22"/>
          <w:szCs w:val="22"/>
          <w:lang w:val="bs-Latn-BA"/>
        </w:rPr>
        <w:t xml:space="preserve"> </w:t>
      </w:r>
    </w:p>
    <w:p w:rsidR="00976929" w:rsidRPr="007D3DD7" w:rsidRDefault="00976929" w:rsidP="00976929">
      <w:pPr>
        <w:autoSpaceDE w:val="0"/>
        <w:autoSpaceDN w:val="0"/>
        <w:adjustRightInd w:val="0"/>
        <w:spacing w:before="60" w:after="60"/>
        <w:rPr>
          <w:rFonts w:asciiTheme="majorHAnsi" w:hAnsiTheme="majorHAnsi" w:cs="ArialMT"/>
          <w:sz w:val="22"/>
          <w:szCs w:val="22"/>
          <w:highlight w:val="green"/>
          <w:lang w:val="bs-Latn-BA" w:eastAsia="bs-Latn-BA"/>
        </w:rPr>
      </w:pPr>
    </w:p>
    <w:p w:rsidR="00976929" w:rsidRPr="0041049B" w:rsidRDefault="0041049B" w:rsidP="0041049B">
      <w:pPr>
        <w:pStyle w:val="NoSpacing"/>
        <w:spacing w:before="240"/>
        <w:ind w:right="-6"/>
        <w:rPr>
          <w:b/>
          <w:lang w:val="bs-Latn-BA"/>
        </w:rPr>
      </w:pPr>
      <w:r w:rsidRPr="0041049B">
        <w:rPr>
          <w:b/>
          <w:lang w:val="bs-Latn-BA"/>
        </w:rPr>
        <w:t>ULOŽENI RESURSI U REFORMU HRM-A</w:t>
      </w:r>
    </w:p>
    <w:p w:rsidR="00B31AB3" w:rsidRPr="007D3DD7" w:rsidRDefault="00B31AB3"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Kao što je već naglašeno na početku ovog dokumenta, ostvarene rezultate u procesu reforme upravljanja ljudskim potencijalima u strukturama državne službe u BiH neophodno je staviti u perspektivu uloženih resursa,  prije svega finansijskih iako  treba istaći da su kroz reformske procese bili angažovani i ljudski resursi </w:t>
      </w:r>
      <w:r w:rsidR="005C5CDA" w:rsidRPr="007D3DD7">
        <w:rPr>
          <w:rFonts w:asciiTheme="majorHAnsi" w:hAnsiTheme="majorHAnsi"/>
          <w:sz w:val="22"/>
          <w:szCs w:val="22"/>
          <w:lang w:val="bs-Latn-BA"/>
        </w:rPr>
        <w:t>(</w:t>
      </w:r>
      <w:r w:rsidRPr="007D3DD7">
        <w:rPr>
          <w:rFonts w:asciiTheme="majorHAnsi" w:hAnsiTheme="majorHAnsi"/>
          <w:sz w:val="22"/>
          <w:szCs w:val="22"/>
          <w:lang w:val="bs-Latn-BA"/>
        </w:rPr>
        <w:t xml:space="preserve">u formi državnih službenika koji su učestvovali u različitim projektima, što su potvrdile </w:t>
      </w:r>
      <w:r w:rsidR="005C5CDA" w:rsidRPr="007D3DD7">
        <w:rPr>
          <w:rFonts w:asciiTheme="majorHAnsi" w:hAnsiTheme="majorHAnsi"/>
          <w:sz w:val="22"/>
          <w:szCs w:val="22"/>
          <w:lang w:val="bs-Latn-BA"/>
        </w:rPr>
        <w:t xml:space="preserve">i </w:t>
      </w:r>
      <w:r w:rsidRPr="007D3DD7">
        <w:rPr>
          <w:rFonts w:asciiTheme="majorHAnsi" w:hAnsiTheme="majorHAnsi"/>
          <w:sz w:val="22"/>
          <w:szCs w:val="22"/>
          <w:lang w:val="bs-Latn-BA"/>
        </w:rPr>
        <w:t>institucije u ovom istraživanju</w:t>
      </w:r>
      <w:r w:rsidR="005C5CDA" w:rsidRPr="007D3DD7">
        <w:rPr>
          <w:rFonts w:asciiTheme="majorHAnsi" w:hAnsiTheme="majorHAnsi"/>
          <w:sz w:val="22"/>
          <w:szCs w:val="22"/>
          <w:lang w:val="bs-Latn-BA"/>
        </w:rPr>
        <w:t>)</w:t>
      </w:r>
      <w:r w:rsidRPr="007D3DD7">
        <w:rPr>
          <w:rFonts w:asciiTheme="majorHAnsi" w:hAnsiTheme="majorHAnsi"/>
          <w:sz w:val="22"/>
          <w:szCs w:val="22"/>
          <w:lang w:val="bs-Latn-BA"/>
        </w:rPr>
        <w:t>.</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Prilikom učešća u radu na projektima tehničke pomoći institucije najčešće delegiraju jednog službenika</w:t>
      </w:r>
      <w:r w:rsidR="005C5CDA" w:rsidRPr="007D3DD7">
        <w:rPr>
          <w:rFonts w:asciiTheme="majorHAnsi" w:hAnsiTheme="majorHAnsi"/>
          <w:sz w:val="22"/>
          <w:szCs w:val="22"/>
          <w:lang w:val="bs-Latn-BA"/>
        </w:rPr>
        <w:t xml:space="preserve">, mada u zavisnosti od relevantnosti projektnih aktivnosti to nekad mogu biti i dvije, pa i više osoba. </w:t>
      </w:r>
    </w:p>
    <w:p w:rsidR="004A3892" w:rsidRPr="007D3DD7" w:rsidRDefault="005C5CDA" w:rsidP="005C5CDA">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I</w:t>
      </w:r>
      <w:r w:rsidR="00976929" w:rsidRPr="007D3DD7">
        <w:rPr>
          <w:rFonts w:asciiTheme="majorHAnsi" w:hAnsiTheme="majorHAnsi"/>
          <w:sz w:val="22"/>
          <w:szCs w:val="22"/>
          <w:lang w:val="bs-Latn-BA"/>
        </w:rPr>
        <w:t>zvještaj projekta PARM u oblasti HRM</w:t>
      </w:r>
      <w:r w:rsidRPr="007D3DD7">
        <w:rPr>
          <w:rFonts w:asciiTheme="majorHAnsi" w:hAnsiTheme="majorHAnsi"/>
          <w:sz w:val="22"/>
          <w:szCs w:val="22"/>
          <w:lang w:val="bs-Latn-BA"/>
        </w:rPr>
        <w:t>-a</w:t>
      </w:r>
      <w:r w:rsidR="00976929" w:rsidRPr="007D3DD7">
        <w:rPr>
          <w:rFonts w:asciiTheme="majorHAnsi" w:hAnsiTheme="majorHAnsi"/>
          <w:sz w:val="22"/>
          <w:szCs w:val="22"/>
          <w:lang w:val="bs-Latn-BA"/>
        </w:rPr>
        <w:t xml:space="preserve"> koji je TI BiH pripremio za period 2012-2014. godina dao je detaljnu analizu o troškovima učešća državnih službenika u donatorskim projektima, kako u vremenu </w:t>
      </w:r>
      <w:r w:rsidR="00976929" w:rsidRPr="007D3DD7">
        <w:rPr>
          <w:rFonts w:asciiTheme="majorHAnsi" w:hAnsiTheme="majorHAnsi"/>
          <w:sz w:val="22"/>
          <w:szCs w:val="22"/>
          <w:lang w:val="bs-Latn-BA"/>
        </w:rPr>
        <w:lastRenderedPageBreak/>
        <w:t xml:space="preserve">tako i u novcu. Za potrebe ovog izvještaja </w:t>
      </w:r>
      <w:r w:rsidRPr="007D3DD7">
        <w:rPr>
          <w:rFonts w:asciiTheme="majorHAnsi" w:hAnsiTheme="majorHAnsi"/>
          <w:sz w:val="22"/>
          <w:szCs w:val="22"/>
          <w:lang w:val="bs-Latn-BA"/>
        </w:rPr>
        <w:t>treba ponoviti da d</w:t>
      </w:r>
      <w:r w:rsidR="001C34FF" w:rsidRPr="007D3DD7">
        <w:rPr>
          <w:rFonts w:asciiTheme="majorHAnsi" w:hAnsiTheme="majorHAnsi"/>
          <w:sz w:val="22"/>
          <w:szCs w:val="22"/>
          <w:lang w:val="bs-Latn-BA"/>
        </w:rPr>
        <w:t>ržavni službenik od organizacije koja</w:t>
      </w:r>
      <w:r w:rsidR="00976929" w:rsidRPr="007D3DD7">
        <w:rPr>
          <w:rFonts w:asciiTheme="majorHAnsi" w:hAnsiTheme="majorHAnsi"/>
          <w:sz w:val="22"/>
          <w:szCs w:val="22"/>
          <w:lang w:val="bs-Latn-BA"/>
        </w:rPr>
        <w:t xml:space="preserve"> vod</w:t>
      </w:r>
      <w:r w:rsidR="001C34FF" w:rsidRPr="007D3DD7">
        <w:rPr>
          <w:rFonts w:asciiTheme="majorHAnsi" w:hAnsiTheme="majorHAnsi"/>
          <w:sz w:val="22"/>
          <w:szCs w:val="22"/>
          <w:lang w:val="bs-Latn-BA"/>
        </w:rPr>
        <w:t>i</w:t>
      </w:r>
      <w:r w:rsidR="00976929" w:rsidRPr="007D3DD7">
        <w:rPr>
          <w:rFonts w:asciiTheme="majorHAnsi" w:hAnsiTheme="majorHAnsi"/>
          <w:sz w:val="22"/>
          <w:szCs w:val="22"/>
          <w:lang w:val="bs-Latn-BA"/>
        </w:rPr>
        <w:t xml:space="preserve"> projek</w:t>
      </w:r>
      <w:r w:rsidR="001C34FF" w:rsidRPr="007D3DD7">
        <w:rPr>
          <w:rFonts w:asciiTheme="majorHAnsi" w:hAnsiTheme="majorHAnsi"/>
          <w:sz w:val="22"/>
          <w:szCs w:val="22"/>
          <w:lang w:val="bs-Latn-BA"/>
        </w:rPr>
        <w:t>at</w:t>
      </w:r>
      <w:r w:rsidR="00976929" w:rsidRPr="007D3DD7">
        <w:rPr>
          <w:rFonts w:asciiTheme="majorHAnsi" w:hAnsiTheme="majorHAnsi"/>
          <w:sz w:val="22"/>
          <w:szCs w:val="22"/>
          <w:lang w:val="bs-Latn-BA"/>
        </w:rPr>
        <w:t xml:space="preserve"> ne može dobiti nadoknadu za rad na tim projektima</w:t>
      </w:r>
      <w:r w:rsidRPr="007D3DD7">
        <w:rPr>
          <w:rFonts w:asciiTheme="majorHAnsi" w:hAnsiTheme="majorHAnsi"/>
          <w:sz w:val="22"/>
          <w:szCs w:val="22"/>
          <w:lang w:val="bs-Latn-BA"/>
        </w:rPr>
        <w:t>,</w:t>
      </w:r>
      <w:r w:rsidR="00976929" w:rsidRPr="007D3DD7">
        <w:rPr>
          <w:rFonts w:asciiTheme="majorHAnsi" w:hAnsiTheme="majorHAnsi"/>
          <w:sz w:val="22"/>
          <w:szCs w:val="22"/>
          <w:lang w:val="bs-Latn-BA"/>
        </w:rPr>
        <w:t xml:space="preserve"> ali učešće u tim projektima </w:t>
      </w:r>
      <w:r w:rsidR="00C043D0" w:rsidRPr="007D3DD7">
        <w:rPr>
          <w:rFonts w:asciiTheme="majorHAnsi" w:hAnsiTheme="majorHAnsi"/>
          <w:sz w:val="22"/>
          <w:szCs w:val="22"/>
          <w:lang w:val="bs-Latn-BA"/>
        </w:rPr>
        <w:t xml:space="preserve">proizvodi određene </w:t>
      </w:r>
      <w:r w:rsidRPr="007D3DD7">
        <w:rPr>
          <w:rFonts w:asciiTheme="majorHAnsi" w:hAnsiTheme="majorHAnsi"/>
          <w:sz w:val="22"/>
          <w:szCs w:val="22"/>
          <w:lang w:val="bs-Latn-BA"/>
        </w:rPr>
        <w:t>direktne</w:t>
      </w:r>
      <w:r w:rsidR="00C043D0" w:rsidRPr="007D3DD7">
        <w:rPr>
          <w:rFonts w:asciiTheme="majorHAnsi" w:hAnsiTheme="majorHAnsi"/>
          <w:sz w:val="22"/>
          <w:szCs w:val="22"/>
          <w:lang w:val="bs-Latn-BA"/>
        </w:rPr>
        <w:t xml:space="preserve"> i indirektne</w:t>
      </w:r>
      <w:r w:rsidRPr="007D3DD7">
        <w:rPr>
          <w:rFonts w:asciiTheme="majorHAnsi" w:hAnsiTheme="majorHAnsi"/>
          <w:sz w:val="22"/>
          <w:szCs w:val="22"/>
          <w:lang w:val="bs-Latn-BA"/>
        </w:rPr>
        <w:t xml:space="preserve"> troškove. </w:t>
      </w:r>
      <w:r w:rsidR="00C043D0" w:rsidRPr="007D3DD7">
        <w:rPr>
          <w:rFonts w:asciiTheme="majorHAnsi" w:hAnsiTheme="majorHAnsi"/>
          <w:sz w:val="22"/>
          <w:szCs w:val="22"/>
          <w:lang w:val="bs-Latn-BA"/>
        </w:rPr>
        <w:t>D</w:t>
      </w:r>
      <w:r w:rsidR="00106137" w:rsidRPr="007D3DD7">
        <w:rPr>
          <w:rFonts w:asciiTheme="majorHAnsi" w:hAnsiTheme="majorHAnsi"/>
          <w:sz w:val="22"/>
          <w:szCs w:val="22"/>
          <w:lang w:val="bs-Latn-BA"/>
        </w:rPr>
        <w:t xml:space="preserve">irektni troškovi su vezani </w:t>
      </w:r>
      <w:r w:rsidR="00430A47" w:rsidRPr="007D3DD7">
        <w:rPr>
          <w:rFonts w:asciiTheme="majorHAnsi" w:hAnsiTheme="majorHAnsi"/>
          <w:sz w:val="22"/>
          <w:szCs w:val="22"/>
          <w:lang w:val="bs-Latn-BA"/>
        </w:rPr>
        <w:t xml:space="preserve">u prvom redu </w:t>
      </w:r>
      <w:r w:rsidR="00106137" w:rsidRPr="007D3DD7">
        <w:rPr>
          <w:rFonts w:asciiTheme="majorHAnsi" w:hAnsiTheme="majorHAnsi"/>
          <w:sz w:val="22"/>
          <w:szCs w:val="22"/>
          <w:lang w:val="bs-Latn-BA"/>
        </w:rPr>
        <w:t>za dnevnice koje institucije isplaćuju državnim službenicima svaki put kad učestvuju u aktivnost</w:t>
      </w:r>
      <w:r w:rsidR="00430A47" w:rsidRPr="007D3DD7">
        <w:rPr>
          <w:rFonts w:asciiTheme="majorHAnsi" w:hAnsiTheme="majorHAnsi"/>
          <w:sz w:val="22"/>
          <w:szCs w:val="22"/>
          <w:lang w:val="bs-Latn-BA"/>
        </w:rPr>
        <w:t>ima izvan matičnog mjesta rada</w:t>
      </w:r>
      <w:r w:rsidR="00C043D0" w:rsidRPr="007D3DD7">
        <w:rPr>
          <w:rFonts w:asciiTheme="majorHAnsi" w:hAnsiTheme="majorHAnsi"/>
          <w:sz w:val="22"/>
          <w:szCs w:val="22"/>
          <w:lang w:val="bs-Latn-BA"/>
        </w:rPr>
        <w:t>. Indirektni troškovi se tiču činjenice</w:t>
      </w:r>
      <w:r w:rsidR="00430A47" w:rsidRPr="007D3DD7">
        <w:rPr>
          <w:rFonts w:asciiTheme="majorHAnsi" w:hAnsiTheme="majorHAnsi"/>
          <w:sz w:val="22"/>
          <w:szCs w:val="22"/>
          <w:lang w:val="bs-Latn-BA"/>
        </w:rPr>
        <w:t xml:space="preserve"> da se redovna primanja nastavljaju dok službenici odsustvuju sa svog radnog mjesta. Dakle, </w:t>
      </w:r>
      <w:r w:rsidR="00C043D0" w:rsidRPr="007D3DD7">
        <w:rPr>
          <w:rFonts w:asciiTheme="majorHAnsi" w:hAnsiTheme="majorHAnsi"/>
          <w:sz w:val="22"/>
          <w:szCs w:val="22"/>
          <w:lang w:val="bs-Latn-BA"/>
        </w:rPr>
        <w:t xml:space="preserve">iako se projekti implementiraju uglavnom donatorskim sredstvima, učešće državnih službenika u njihovoj implementaciji, gledano iz ugla </w:t>
      </w:r>
      <w:r w:rsidR="00430A47" w:rsidRPr="007D3DD7">
        <w:rPr>
          <w:rFonts w:asciiTheme="majorHAnsi" w:hAnsiTheme="majorHAnsi"/>
          <w:sz w:val="22"/>
          <w:szCs w:val="22"/>
          <w:lang w:val="bs-Latn-BA"/>
        </w:rPr>
        <w:t>poreski</w:t>
      </w:r>
      <w:r w:rsidR="00C043D0" w:rsidRPr="007D3DD7">
        <w:rPr>
          <w:rFonts w:asciiTheme="majorHAnsi" w:hAnsiTheme="majorHAnsi"/>
          <w:sz w:val="22"/>
          <w:szCs w:val="22"/>
          <w:lang w:val="bs-Latn-BA"/>
        </w:rPr>
        <w:t>h</w:t>
      </w:r>
      <w:r w:rsidR="00430A47" w:rsidRPr="007D3DD7">
        <w:rPr>
          <w:rFonts w:asciiTheme="majorHAnsi" w:hAnsiTheme="majorHAnsi"/>
          <w:sz w:val="22"/>
          <w:szCs w:val="22"/>
          <w:lang w:val="bs-Latn-BA"/>
        </w:rPr>
        <w:t xml:space="preserve"> obvezni</w:t>
      </w:r>
      <w:r w:rsidR="00C043D0" w:rsidRPr="007D3DD7">
        <w:rPr>
          <w:rFonts w:asciiTheme="majorHAnsi" w:hAnsiTheme="majorHAnsi"/>
          <w:sz w:val="22"/>
          <w:szCs w:val="22"/>
          <w:lang w:val="bs-Latn-BA"/>
        </w:rPr>
        <w:t>ka, nije besplatno</w:t>
      </w:r>
      <w:r w:rsidR="00430A47" w:rsidRPr="007D3DD7">
        <w:rPr>
          <w:rFonts w:asciiTheme="majorHAnsi" w:hAnsiTheme="majorHAnsi"/>
          <w:sz w:val="22"/>
          <w:szCs w:val="22"/>
          <w:lang w:val="bs-Latn-BA"/>
        </w:rPr>
        <w:t>.</w:t>
      </w:r>
      <w:r w:rsidR="004A3892" w:rsidRPr="007D3DD7">
        <w:rPr>
          <w:rStyle w:val="FootnoteReference"/>
          <w:rFonts w:asciiTheme="majorHAnsi" w:hAnsiTheme="majorHAnsi"/>
          <w:sz w:val="22"/>
          <w:szCs w:val="22"/>
          <w:lang w:val="bs-Latn-BA"/>
        </w:rPr>
        <w:footnoteReference w:id="4"/>
      </w:r>
    </w:p>
    <w:p w:rsidR="004A3892" w:rsidRPr="007D3DD7" w:rsidRDefault="004A3892" w:rsidP="005C5CDA">
      <w:pPr>
        <w:spacing w:before="60" w:after="60"/>
        <w:jc w:val="both"/>
        <w:rPr>
          <w:rFonts w:asciiTheme="majorHAnsi" w:hAnsiTheme="majorHAnsi"/>
          <w:sz w:val="22"/>
          <w:szCs w:val="22"/>
          <w:lang w:val="bs-Latn-BA"/>
        </w:rPr>
      </w:pPr>
    </w:p>
    <w:p w:rsidR="001D5B8B" w:rsidRPr="007D3DD7" w:rsidRDefault="004A3892" w:rsidP="005C5CDA">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Naravno, ukazivanjem na troškove u vezi s </w:t>
      </w:r>
      <w:r w:rsidR="00430A47" w:rsidRPr="007D3DD7">
        <w:rPr>
          <w:rFonts w:asciiTheme="majorHAnsi" w:hAnsiTheme="majorHAnsi"/>
          <w:sz w:val="22"/>
          <w:szCs w:val="22"/>
          <w:lang w:val="bs-Latn-BA"/>
        </w:rPr>
        <w:t>a</w:t>
      </w:r>
      <w:r w:rsidR="00976929" w:rsidRPr="007D3DD7">
        <w:rPr>
          <w:rFonts w:asciiTheme="majorHAnsi" w:hAnsiTheme="majorHAnsi"/>
          <w:sz w:val="22"/>
          <w:szCs w:val="22"/>
          <w:lang w:val="bs-Latn-BA"/>
        </w:rPr>
        <w:t>ngažman</w:t>
      </w:r>
      <w:r w:rsidRPr="007D3DD7">
        <w:rPr>
          <w:rFonts w:asciiTheme="majorHAnsi" w:hAnsiTheme="majorHAnsi"/>
          <w:sz w:val="22"/>
          <w:szCs w:val="22"/>
          <w:lang w:val="bs-Latn-BA"/>
        </w:rPr>
        <w:t>om</w:t>
      </w:r>
      <w:r w:rsidR="00976929" w:rsidRPr="007D3DD7">
        <w:rPr>
          <w:rFonts w:asciiTheme="majorHAnsi" w:hAnsiTheme="majorHAnsi"/>
          <w:sz w:val="22"/>
          <w:szCs w:val="22"/>
          <w:lang w:val="bs-Latn-BA"/>
        </w:rPr>
        <w:t xml:space="preserve"> državn</w:t>
      </w:r>
      <w:r w:rsidRPr="007D3DD7">
        <w:rPr>
          <w:rFonts w:asciiTheme="majorHAnsi" w:hAnsiTheme="majorHAnsi"/>
          <w:sz w:val="22"/>
          <w:szCs w:val="22"/>
          <w:lang w:val="bs-Latn-BA"/>
        </w:rPr>
        <w:t>ih službenika na projektima tehničke pomoći ne želi se obeshrabriti praksa</w:t>
      </w:r>
      <w:r w:rsidR="00C043D0" w:rsidRPr="007D3DD7">
        <w:rPr>
          <w:rFonts w:asciiTheme="majorHAnsi" w:hAnsiTheme="majorHAnsi"/>
          <w:sz w:val="22"/>
          <w:szCs w:val="22"/>
          <w:lang w:val="bs-Latn-BA"/>
        </w:rPr>
        <w:t xml:space="preserve"> oslanjanja na znanje i iskustvo državnih službenika u reformskim procesima</w:t>
      </w:r>
      <w:r w:rsidRPr="007D3DD7">
        <w:rPr>
          <w:rFonts w:asciiTheme="majorHAnsi" w:hAnsiTheme="majorHAnsi"/>
          <w:sz w:val="22"/>
          <w:szCs w:val="22"/>
          <w:lang w:val="bs-Latn-BA"/>
        </w:rPr>
        <w:t xml:space="preserve">. </w:t>
      </w:r>
      <w:r w:rsidR="00C043D0" w:rsidRPr="007D3DD7">
        <w:rPr>
          <w:rFonts w:asciiTheme="majorHAnsi" w:hAnsiTheme="majorHAnsi"/>
          <w:sz w:val="22"/>
          <w:szCs w:val="22"/>
          <w:lang w:val="bs-Latn-BA"/>
        </w:rPr>
        <w:t xml:space="preserve">Naprotiv. </w:t>
      </w:r>
      <w:r w:rsidRPr="007D3DD7">
        <w:rPr>
          <w:rFonts w:asciiTheme="majorHAnsi" w:hAnsiTheme="majorHAnsi"/>
          <w:sz w:val="22"/>
          <w:szCs w:val="22"/>
          <w:lang w:val="bs-Latn-BA"/>
        </w:rPr>
        <w:t>Projekti su nužni</w:t>
      </w:r>
      <w:r w:rsidR="00C043D0" w:rsidRPr="007D3DD7">
        <w:rPr>
          <w:rFonts w:asciiTheme="majorHAnsi" w:hAnsiTheme="majorHAnsi"/>
          <w:sz w:val="22"/>
          <w:szCs w:val="22"/>
          <w:lang w:val="bs-Latn-BA"/>
        </w:rPr>
        <w:t>,</w:t>
      </w:r>
      <w:r w:rsidRPr="007D3DD7">
        <w:rPr>
          <w:rFonts w:asciiTheme="majorHAnsi" w:hAnsiTheme="majorHAnsi"/>
          <w:sz w:val="22"/>
          <w:szCs w:val="22"/>
          <w:lang w:val="bs-Latn-BA"/>
        </w:rPr>
        <w:t xml:space="preserve"> jer su bili i ostali ključna poluga reformi, baš kao što je nužan i angažman državnih službenika u implementaciji ovih projekata. Međutim, izlazni rezulta</w:t>
      </w:r>
      <w:r w:rsidR="001D5B8B" w:rsidRPr="007D3DD7">
        <w:rPr>
          <w:rFonts w:asciiTheme="majorHAnsi" w:hAnsiTheme="majorHAnsi"/>
          <w:sz w:val="22"/>
          <w:szCs w:val="22"/>
          <w:lang w:val="bs-Latn-BA"/>
        </w:rPr>
        <w:t xml:space="preserve">ti projekata tehničke pomoći </w:t>
      </w:r>
      <w:r w:rsidRPr="007D3DD7">
        <w:rPr>
          <w:rFonts w:asciiTheme="majorHAnsi" w:hAnsiTheme="majorHAnsi"/>
          <w:sz w:val="22"/>
          <w:szCs w:val="22"/>
          <w:lang w:val="bs-Latn-BA"/>
        </w:rPr>
        <w:t xml:space="preserve">moraju </w:t>
      </w:r>
      <w:r w:rsidR="001D5B8B" w:rsidRPr="007D3DD7">
        <w:rPr>
          <w:rFonts w:asciiTheme="majorHAnsi" w:hAnsiTheme="majorHAnsi"/>
          <w:sz w:val="22"/>
          <w:szCs w:val="22"/>
          <w:lang w:val="bs-Latn-BA"/>
        </w:rPr>
        <w:t xml:space="preserve">se </w:t>
      </w:r>
      <w:r w:rsidRPr="007D3DD7">
        <w:rPr>
          <w:rFonts w:asciiTheme="majorHAnsi" w:hAnsiTheme="majorHAnsi"/>
          <w:sz w:val="22"/>
          <w:szCs w:val="22"/>
          <w:lang w:val="bs-Latn-BA"/>
        </w:rPr>
        <w:t xml:space="preserve">povećati. </w:t>
      </w:r>
      <w:r w:rsidR="00D271C9" w:rsidRPr="007D3DD7">
        <w:rPr>
          <w:rFonts w:asciiTheme="majorHAnsi" w:hAnsiTheme="majorHAnsi"/>
          <w:sz w:val="22"/>
          <w:szCs w:val="22"/>
          <w:lang w:val="bs-Latn-BA"/>
        </w:rPr>
        <w:t xml:space="preserve">Primarni problem nije u karakteru projekata niti u ljudima koji ih implementiraju, već u izostanku podrške </w:t>
      </w:r>
      <w:r w:rsidR="001D5B8B" w:rsidRPr="007D3DD7">
        <w:rPr>
          <w:rFonts w:asciiTheme="majorHAnsi" w:hAnsiTheme="majorHAnsi"/>
          <w:sz w:val="22"/>
          <w:szCs w:val="22"/>
          <w:lang w:val="bs-Latn-BA"/>
        </w:rPr>
        <w:t>po</w:t>
      </w:r>
      <w:r w:rsidR="00D271C9" w:rsidRPr="007D3DD7">
        <w:rPr>
          <w:rFonts w:asciiTheme="majorHAnsi" w:hAnsiTheme="majorHAnsi"/>
          <w:sz w:val="22"/>
          <w:szCs w:val="22"/>
          <w:lang w:val="bs-Latn-BA"/>
        </w:rPr>
        <w:t xml:space="preserve">litičkih predstavnika na vlasti. Naime, svi iole značajniji ciljevi projekata uključuju izmjene propisa što bez </w:t>
      </w:r>
      <w:r w:rsidR="001D5B8B" w:rsidRPr="007D3DD7">
        <w:rPr>
          <w:rFonts w:asciiTheme="majorHAnsi" w:hAnsiTheme="majorHAnsi"/>
          <w:sz w:val="22"/>
          <w:szCs w:val="22"/>
          <w:lang w:val="bs-Latn-BA"/>
        </w:rPr>
        <w:t xml:space="preserve">podrške </w:t>
      </w:r>
      <w:r w:rsidR="00D271C9" w:rsidRPr="007D3DD7">
        <w:rPr>
          <w:rFonts w:asciiTheme="majorHAnsi" w:hAnsiTheme="majorHAnsi"/>
          <w:sz w:val="22"/>
          <w:szCs w:val="22"/>
          <w:lang w:val="bs-Latn-BA"/>
        </w:rPr>
        <w:t>struktura na vlasti jednostavno nije moguće realizirati.</w:t>
      </w:r>
    </w:p>
    <w:p w:rsidR="001D5B8B" w:rsidRPr="007D3DD7" w:rsidRDefault="001D5B8B" w:rsidP="005C5CDA">
      <w:pPr>
        <w:spacing w:before="60" w:after="60"/>
        <w:jc w:val="both"/>
        <w:rPr>
          <w:rFonts w:asciiTheme="majorHAnsi" w:hAnsiTheme="majorHAnsi"/>
          <w:sz w:val="22"/>
          <w:szCs w:val="22"/>
          <w:lang w:val="bs-Latn-BA"/>
        </w:rPr>
      </w:pPr>
    </w:p>
    <w:p w:rsidR="00106137" w:rsidRPr="007D3DD7" w:rsidRDefault="00C043D0" w:rsidP="005C5CDA">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Građani BiH imaju puno pravo da budu nezadovoljni brzinom i obimom reformi, jer im </w:t>
      </w:r>
      <w:r w:rsidR="001D5B8B" w:rsidRPr="007D3DD7">
        <w:rPr>
          <w:rFonts w:asciiTheme="majorHAnsi" w:hAnsiTheme="majorHAnsi"/>
          <w:sz w:val="22"/>
          <w:szCs w:val="22"/>
          <w:lang w:val="bs-Latn-BA"/>
        </w:rPr>
        <w:t>profesionalna</w:t>
      </w:r>
      <w:r w:rsidRPr="007D3DD7">
        <w:rPr>
          <w:rFonts w:asciiTheme="majorHAnsi" w:hAnsiTheme="majorHAnsi"/>
          <w:sz w:val="22"/>
          <w:szCs w:val="22"/>
          <w:lang w:val="bs-Latn-BA"/>
        </w:rPr>
        <w:t xml:space="preserve"> </w:t>
      </w:r>
      <w:r w:rsidR="001D5B8B" w:rsidRPr="007D3DD7">
        <w:rPr>
          <w:rFonts w:asciiTheme="majorHAnsi" w:hAnsiTheme="majorHAnsi"/>
          <w:sz w:val="22"/>
          <w:szCs w:val="22"/>
          <w:lang w:val="bs-Latn-BA"/>
        </w:rPr>
        <w:t xml:space="preserve">i efikasna </w:t>
      </w:r>
      <w:r w:rsidRPr="007D3DD7">
        <w:rPr>
          <w:rFonts w:asciiTheme="majorHAnsi" w:hAnsiTheme="majorHAnsi"/>
          <w:sz w:val="22"/>
          <w:szCs w:val="22"/>
          <w:lang w:val="bs-Latn-BA"/>
        </w:rPr>
        <w:t>uprava treba i kao direktnim korisnicima</w:t>
      </w:r>
      <w:r w:rsidR="001D5B8B" w:rsidRPr="007D3DD7">
        <w:rPr>
          <w:rFonts w:asciiTheme="majorHAnsi" w:hAnsiTheme="majorHAnsi"/>
          <w:sz w:val="22"/>
          <w:szCs w:val="22"/>
          <w:lang w:val="bs-Latn-BA"/>
        </w:rPr>
        <w:t xml:space="preserve"> (kroz izdavanje ličnih dokumenata, dozvola, uvjerenja</w:t>
      </w:r>
      <w:r w:rsidRPr="007D3DD7">
        <w:rPr>
          <w:rFonts w:asciiTheme="majorHAnsi" w:hAnsiTheme="majorHAnsi"/>
          <w:sz w:val="22"/>
          <w:szCs w:val="22"/>
          <w:lang w:val="bs-Latn-BA"/>
        </w:rPr>
        <w:t xml:space="preserve">, </w:t>
      </w:r>
      <w:r w:rsidR="001D5B8B" w:rsidRPr="007D3DD7">
        <w:rPr>
          <w:rFonts w:asciiTheme="majorHAnsi" w:hAnsiTheme="majorHAnsi"/>
          <w:sz w:val="22"/>
          <w:szCs w:val="22"/>
          <w:lang w:val="bs-Latn-BA"/>
        </w:rPr>
        <w:t xml:space="preserve">itd.), </w:t>
      </w:r>
      <w:r w:rsidRPr="007D3DD7">
        <w:rPr>
          <w:rFonts w:asciiTheme="majorHAnsi" w:hAnsiTheme="majorHAnsi"/>
          <w:sz w:val="22"/>
          <w:szCs w:val="22"/>
          <w:lang w:val="bs-Latn-BA"/>
        </w:rPr>
        <w:t xml:space="preserve">i kao </w:t>
      </w:r>
      <w:r w:rsidR="001D5B8B" w:rsidRPr="007D3DD7">
        <w:rPr>
          <w:rFonts w:asciiTheme="majorHAnsi" w:hAnsiTheme="majorHAnsi"/>
          <w:sz w:val="22"/>
          <w:szCs w:val="22"/>
          <w:lang w:val="bs-Latn-BA"/>
        </w:rPr>
        <w:t xml:space="preserve">potencijalnim kandidatima za posao unutar upravnih struktura, i kao </w:t>
      </w:r>
      <w:r w:rsidRPr="007D3DD7">
        <w:rPr>
          <w:rFonts w:asciiTheme="majorHAnsi" w:hAnsiTheme="majorHAnsi"/>
          <w:sz w:val="22"/>
          <w:szCs w:val="22"/>
          <w:lang w:val="bs-Latn-BA"/>
        </w:rPr>
        <w:t xml:space="preserve">struktura koja će biti stimulacija stranim investitorima da ulože kapital u BiH, da otvore nova radna mjesta i </w:t>
      </w:r>
      <w:r w:rsidR="001D5B8B" w:rsidRPr="007D3DD7">
        <w:rPr>
          <w:rFonts w:asciiTheme="majorHAnsi" w:hAnsiTheme="majorHAnsi"/>
          <w:sz w:val="22"/>
          <w:szCs w:val="22"/>
          <w:lang w:val="bs-Latn-BA"/>
        </w:rPr>
        <w:t xml:space="preserve">time </w:t>
      </w:r>
      <w:r w:rsidRPr="007D3DD7">
        <w:rPr>
          <w:rFonts w:asciiTheme="majorHAnsi" w:hAnsiTheme="majorHAnsi"/>
          <w:sz w:val="22"/>
          <w:szCs w:val="22"/>
          <w:lang w:val="bs-Latn-BA"/>
        </w:rPr>
        <w:t>pob</w:t>
      </w:r>
      <w:r w:rsidR="001D5B8B" w:rsidRPr="007D3DD7">
        <w:rPr>
          <w:rFonts w:asciiTheme="majorHAnsi" w:hAnsiTheme="majorHAnsi"/>
          <w:sz w:val="22"/>
          <w:szCs w:val="22"/>
          <w:lang w:val="bs-Latn-BA"/>
        </w:rPr>
        <w:t xml:space="preserve">oljšaju životni standard svih stanovnika. Stoga je vrlo frustrirajuće za građane da, primjerice, dvogodišnji projekat EU-HRM koji je koštao skoro 1.8 miliona eura (bez uračunatih troškova angažmana državnih službenika) na kraju rezultira sa 600 obučenih ljudi i dva-tri nova podzakonska akta.  </w:t>
      </w:r>
    </w:p>
    <w:p w:rsidR="00976929" w:rsidRPr="007D3DD7" w:rsidRDefault="00976929" w:rsidP="00D271C9">
      <w:pPr>
        <w:autoSpaceDE w:val="0"/>
        <w:autoSpaceDN w:val="0"/>
        <w:adjustRightInd w:val="0"/>
        <w:spacing w:before="60" w:after="60"/>
        <w:jc w:val="both"/>
        <w:rPr>
          <w:rFonts w:asciiTheme="majorHAnsi" w:hAnsiTheme="majorHAnsi" w:cs="Arial-BoldMT"/>
          <w:bCs/>
          <w:sz w:val="22"/>
          <w:szCs w:val="22"/>
          <w:lang w:val="bs-Latn-BA"/>
        </w:rPr>
      </w:pPr>
      <w:r w:rsidRPr="007D3DD7">
        <w:rPr>
          <w:rFonts w:asciiTheme="majorHAnsi" w:hAnsiTheme="majorHAnsi" w:cs="Arial-BoldMT"/>
          <w:bCs/>
          <w:sz w:val="22"/>
          <w:szCs w:val="22"/>
          <w:lang w:val="bs-Latn-BA"/>
        </w:rPr>
        <w:t xml:space="preserve"> </w:t>
      </w:r>
    </w:p>
    <w:p w:rsidR="00976929" w:rsidRPr="007D3DD7" w:rsidRDefault="00D271C9" w:rsidP="00C956F2">
      <w:pPr>
        <w:autoSpaceDE w:val="0"/>
        <w:autoSpaceDN w:val="0"/>
        <w:adjustRightInd w:val="0"/>
        <w:jc w:val="both"/>
        <w:rPr>
          <w:rFonts w:asciiTheme="majorHAnsi" w:hAnsiTheme="majorHAnsi" w:cs="Arial-BoldMT"/>
          <w:bCs/>
          <w:sz w:val="22"/>
          <w:szCs w:val="22"/>
          <w:lang w:val="bs-Latn-BA" w:eastAsia="bs-Latn-BA"/>
        </w:rPr>
      </w:pPr>
      <w:r w:rsidRPr="007D3DD7">
        <w:rPr>
          <w:rFonts w:asciiTheme="majorHAnsi" w:hAnsiTheme="majorHAnsi" w:cs="Arial-BoldMT"/>
          <w:bCs/>
          <w:sz w:val="22"/>
          <w:szCs w:val="22"/>
          <w:lang w:val="bs-Latn-BA"/>
        </w:rPr>
        <w:t>Inače, pregledom s</w:t>
      </w:r>
      <w:r w:rsidR="00976929" w:rsidRPr="007D3DD7">
        <w:rPr>
          <w:rFonts w:asciiTheme="majorHAnsi" w:hAnsiTheme="majorHAnsi" w:cs="Arial-BoldMT"/>
          <w:bCs/>
          <w:sz w:val="22"/>
          <w:szCs w:val="22"/>
          <w:lang w:val="bs-Latn-BA"/>
        </w:rPr>
        <w:t>tatus</w:t>
      </w:r>
      <w:r w:rsidRPr="007D3DD7">
        <w:rPr>
          <w:rFonts w:asciiTheme="majorHAnsi" w:hAnsiTheme="majorHAnsi" w:cs="Arial-BoldMT"/>
          <w:bCs/>
          <w:sz w:val="22"/>
          <w:szCs w:val="22"/>
          <w:lang w:val="bs-Latn-BA"/>
        </w:rPr>
        <w:t xml:space="preserve">a projekata reforme javne </w:t>
      </w:r>
      <w:r w:rsidR="00976929" w:rsidRPr="007D3DD7">
        <w:rPr>
          <w:rFonts w:asciiTheme="majorHAnsi" w:hAnsiTheme="majorHAnsi" w:cs="Arial-BoldMT"/>
          <w:bCs/>
          <w:sz w:val="22"/>
          <w:szCs w:val="22"/>
          <w:lang w:val="bs-Latn-BA"/>
        </w:rPr>
        <w:t xml:space="preserve">uprave u oblasti upravljanja ljudskim potencijalima u 2015. godini </w:t>
      </w:r>
      <w:r w:rsidRPr="007D3DD7">
        <w:rPr>
          <w:rFonts w:asciiTheme="majorHAnsi" w:hAnsiTheme="majorHAnsi" w:cs="Arial-BoldMT"/>
          <w:bCs/>
          <w:sz w:val="22"/>
          <w:szCs w:val="22"/>
          <w:lang w:val="bs-Latn-BA"/>
        </w:rPr>
        <w:t>(</w:t>
      </w:r>
      <w:r w:rsidR="00976929" w:rsidRPr="007D3DD7">
        <w:rPr>
          <w:rFonts w:asciiTheme="majorHAnsi" w:hAnsiTheme="majorHAnsi" w:cs="Arial-BoldMT"/>
          <w:bCs/>
          <w:sz w:val="22"/>
          <w:szCs w:val="22"/>
          <w:lang w:val="bs-Latn-BA"/>
        </w:rPr>
        <w:t>prema Godišnjem izvještaju o radu Ureda koordinatora za reformu javne uprave u periodu januar – decembar 2015</w:t>
      </w:r>
      <w:r w:rsidRPr="007D3DD7">
        <w:rPr>
          <w:rFonts w:asciiTheme="majorHAnsi" w:hAnsiTheme="majorHAnsi" w:cs="Arial-BoldMT"/>
          <w:bCs/>
          <w:sz w:val="22"/>
          <w:szCs w:val="22"/>
          <w:lang w:val="bs-Latn-BA"/>
        </w:rPr>
        <w:t xml:space="preserve">.), uočena je sporost u provedbi postupaka nužnih za započinjanje projekata. Naime, od ukupno sedam projekata koji su nabrojani u prošlogodišnjem izvještaju kao projekti u postupku odobravanja, </w:t>
      </w:r>
      <w:r w:rsidR="00C956F2" w:rsidRPr="007D3DD7">
        <w:rPr>
          <w:rFonts w:asciiTheme="majorHAnsi" w:hAnsiTheme="majorHAnsi" w:cs="Arial-BoldMT"/>
          <w:bCs/>
          <w:sz w:val="22"/>
          <w:szCs w:val="22"/>
          <w:lang w:val="bs-Latn-BA"/>
        </w:rPr>
        <w:t xml:space="preserve">samo je kod jednog planiranog projekta zabilježen napredak. </w:t>
      </w:r>
      <w:r w:rsidRPr="007D3DD7">
        <w:rPr>
          <w:rFonts w:asciiTheme="majorHAnsi" w:hAnsiTheme="majorHAnsi" w:cs="Arial-BoldMT"/>
          <w:bCs/>
          <w:sz w:val="22"/>
          <w:szCs w:val="22"/>
          <w:lang w:val="bs-Latn-BA"/>
        </w:rPr>
        <w:t xml:space="preserve">Radi se o projektu </w:t>
      </w:r>
      <w:r w:rsidR="00C956F2" w:rsidRPr="007D3DD7">
        <w:rPr>
          <w:rFonts w:asciiTheme="majorHAnsi" w:hAnsiTheme="majorHAnsi" w:cs="Arial-BoldMT"/>
          <w:bCs/>
          <w:i/>
          <w:sz w:val="22"/>
          <w:szCs w:val="22"/>
          <w:lang w:val="bs-Latn-BA" w:eastAsia="bs-Latn-BA"/>
        </w:rPr>
        <w:t>Izgradnja kapaciteta za borbu protiv korupcije u strukturama državne službe BiH</w:t>
      </w:r>
      <w:r w:rsidR="00C956F2" w:rsidRPr="007D3DD7">
        <w:rPr>
          <w:rFonts w:asciiTheme="majorHAnsi" w:hAnsiTheme="majorHAnsi" w:cs="Arial-BoldMT"/>
          <w:bCs/>
          <w:sz w:val="22"/>
          <w:szCs w:val="22"/>
          <w:lang w:val="bs-Latn-BA"/>
        </w:rPr>
        <w:t xml:space="preserve"> za koji je u proteklom periodu odobrena tehnička dokumentacija i koji se sada nalazi u fazi javne nabavke. Svi ostali projekti čija je realizacija planirana kroz sredstva Fonda za reformu javne uprave (FRJU) ostaju u statusu u kome su bili i 2014. godine. Tabela koja slijedi daje uvid u osnovne podatke o realiziranim i planiranim projektima. </w:t>
      </w:r>
    </w:p>
    <w:p w:rsidR="005C5CDA" w:rsidRDefault="005C5CDA" w:rsidP="00976929">
      <w:pPr>
        <w:autoSpaceDE w:val="0"/>
        <w:autoSpaceDN w:val="0"/>
        <w:adjustRightInd w:val="0"/>
        <w:spacing w:before="60" w:after="60"/>
        <w:jc w:val="both"/>
        <w:rPr>
          <w:rFonts w:asciiTheme="majorHAnsi" w:hAnsiTheme="majorHAnsi" w:cs="Arial-BoldMT"/>
          <w:bCs/>
          <w:sz w:val="22"/>
          <w:szCs w:val="22"/>
          <w:lang w:val="bs-Latn-BA"/>
        </w:rPr>
      </w:pPr>
    </w:p>
    <w:p w:rsidR="00A35C0E" w:rsidRPr="00A35C0E" w:rsidRDefault="00A35C0E" w:rsidP="00A35C0E">
      <w:pPr>
        <w:spacing w:after="240"/>
        <w:ind w:right="-6"/>
        <w:jc w:val="both"/>
        <w:rPr>
          <w:rFonts w:ascii="Calibri" w:hAnsi="Calibri"/>
          <w:b/>
          <w:sz w:val="22"/>
          <w:szCs w:val="22"/>
        </w:rPr>
      </w:pPr>
      <w:r w:rsidRPr="00A35C0E">
        <w:rPr>
          <w:rFonts w:ascii="Calibri" w:hAnsi="Calibri"/>
          <w:b/>
          <w:sz w:val="22"/>
          <w:szCs w:val="22"/>
        </w:rPr>
        <w:t xml:space="preserve">Tabela 2.  Osnovni podaci o realiziranim i planiranim projektima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977"/>
      </w:tblGrid>
      <w:tr w:rsidR="00A420FC" w:rsidRPr="007D3DD7" w:rsidTr="002B4A41">
        <w:tc>
          <w:tcPr>
            <w:tcW w:w="3969" w:type="dxa"/>
            <w:shd w:val="clear" w:color="auto" w:fill="BFBFBF" w:themeFill="background1" w:themeFillShade="BF"/>
          </w:tcPr>
          <w:p w:rsidR="00A420FC" w:rsidRPr="007D3DD7" w:rsidRDefault="00C956F2" w:rsidP="00C956F2">
            <w:pPr>
              <w:autoSpaceDE w:val="0"/>
              <w:autoSpaceDN w:val="0"/>
              <w:adjustRightInd w:val="0"/>
              <w:jc w:val="center"/>
              <w:rPr>
                <w:rFonts w:asciiTheme="majorHAnsi" w:hAnsiTheme="majorHAnsi" w:cs="Arial-BoldMT"/>
                <w:b/>
                <w:bCs/>
                <w:sz w:val="22"/>
                <w:szCs w:val="22"/>
                <w:lang w:val="bs-Latn-BA" w:eastAsia="bs-Latn-BA"/>
              </w:rPr>
            </w:pPr>
            <w:r w:rsidRPr="007D3DD7">
              <w:rPr>
                <w:rFonts w:asciiTheme="majorHAnsi" w:hAnsiTheme="majorHAnsi" w:cs="Arial-BoldMT"/>
                <w:b/>
                <w:bCs/>
                <w:sz w:val="22"/>
                <w:szCs w:val="22"/>
                <w:lang w:val="bs-Latn-BA" w:eastAsia="bs-Latn-BA"/>
              </w:rPr>
              <w:t>PROJEKAT</w:t>
            </w:r>
          </w:p>
          <w:p w:rsidR="00C956F2" w:rsidRPr="007D3DD7" w:rsidRDefault="00C956F2" w:rsidP="00C956F2">
            <w:pPr>
              <w:autoSpaceDE w:val="0"/>
              <w:autoSpaceDN w:val="0"/>
              <w:adjustRightInd w:val="0"/>
              <w:jc w:val="center"/>
              <w:rPr>
                <w:rFonts w:asciiTheme="majorHAnsi" w:hAnsiTheme="majorHAnsi" w:cs="Arial-BoldMT"/>
                <w:b/>
                <w:bCs/>
                <w:sz w:val="22"/>
                <w:szCs w:val="22"/>
                <w:lang w:val="bs-Latn-BA" w:eastAsia="bs-Latn-BA"/>
              </w:rPr>
            </w:pPr>
          </w:p>
        </w:tc>
        <w:tc>
          <w:tcPr>
            <w:tcW w:w="2268" w:type="dxa"/>
            <w:shd w:val="clear" w:color="auto" w:fill="BFBFBF" w:themeFill="background1" w:themeFillShade="BF"/>
          </w:tcPr>
          <w:p w:rsidR="00A420FC" w:rsidRPr="007D3DD7" w:rsidRDefault="00C956F2" w:rsidP="00A420FC">
            <w:pPr>
              <w:autoSpaceDE w:val="0"/>
              <w:autoSpaceDN w:val="0"/>
              <w:adjustRightInd w:val="0"/>
              <w:jc w:val="center"/>
              <w:rPr>
                <w:rFonts w:asciiTheme="majorHAnsi" w:hAnsiTheme="majorHAnsi" w:cs="Arial-BoldMT"/>
                <w:b/>
                <w:bCs/>
                <w:sz w:val="22"/>
                <w:szCs w:val="22"/>
                <w:lang w:val="bs-Latn-BA"/>
              </w:rPr>
            </w:pPr>
            <w:r w:rsidRPr="007D3DD7">
              <w:rPr>
                <w:rFonts w:asciiTheme="majorHAnsi" w:hAnsiTheme="majorHAnsi" w:cs="Arial-BoldMT"/>
                <w:b/>
                <w:bCs/>
                <w:sz w:val="22"/>
                <w:szCs w:val="22"/>
                <w:lang w:val="bs-Latn-BA"/>
              </w:rPr>
              <w:t>DONATOR</w:t>
            </w:r>
          </w:p>
        </w:tc>
        <w:tc>
          <w:tcPr>
            <w:tcW w:w="2977" w:type="dxa"/>
            <w:shd w:val="clear" w:color="auto" w:fill="BFBFBF" w:themeFill="background1" w:themeFillShade="BF"/>
          </w:tcPr>
          <w:p w:rsidR="00A420FC" w:rsidRPr="007D3DD7" w:rsidRDefault="00C956F2" w:rsidP="00A420FC">
            <w:pPr>
              <w:autoSpaceDE w:val="0"/>
              <w:autoSpaceDN w:val="0"/>
              <w:adjustRightInd w:val="0"/>
              <w:jc w:val="center"/>
              <w:rPr>
                <w:rFonts w:asciiTheme="majorHAnsi" w:hAnsiTheme="majorHAnsi" w:cs="Arial-BoldMT"/>
                <w:b/>
                <w:bCs/>
                <w:sz w:val="22"/>
                <w:szCs w:val="22"/>
                <w:lang w:val="bs-Latn-BA"/>
              </w:rPr>
            </w:pPr>
            <w:r w:rsidRPr="007D3DD7">
              <w:rPr>
                <w:rFonts w:asciiTheme="majorHAnsi" w:hAnsiTheme="majorHAnsi" w:cs="Arial-BoldMT"/>
                <w:b/>
                <w:bCs/>
                <w:sz w:val="22"/>
                <w:szCs w:val="22"/>
                <w:lang w:val="bs-Latn-BA"/>
              </w:rPr>
              <w:t>STATUS</w:t>
            </w:r>
          </w:p>
        </w:tc>
      </w:tr>
      <w:tr w:rsidR="00C956F2" w:rsidRPr="007D3DD7" w:rsidTr="002B4A41">
        <w:tc>
          <w:tcPr>
            <w:tcW w:w="3969" w:type="dxa"/>
            <w:shd w:val="clear" w:color="auto" w:fill="auto"/>
          </w:tcPr>
          <w:p w:rsidR="00C956F2" w:rsidRPr="007D3DD7" w:rsidRDefault="00C956F2" w:rsidP="00A420FC">
            <w:pPr>
              <w:autoSpaceDE w:val="0"/>
              <w:autoSpaceDN w:val="0"/>
              <w:adjustRightInd w:val="0"/>
              <w:rPr>
                <w:rFonts w:asciiTheme="majorHAnsi" w:hAnsiTheme="majorHAnsi" w:cs="Arial-BoldMT"/>
                <w:bCs/>
                <w:sz w:val="22"/>
                <w:szCs w:val="22"/>
                <w:lang w:val="bs-Latn-BA" w:eastAsia="bs-Latn-BA"/>
              </w:rPr>
            </w:pPr>
            <w:r w:rsidRPr="007D3DD7">
              <w:rPr>
                <w:rFonts w:asciiTheme="majorHAnsi" w:hAnsiTheme="majorHAnsi" w:cs="Arial-BoldMT"/>
                <w:bCs/>
                <w:sz w:val="22"/>
                <w:szCs w:val="22"/>
                <w:lang w:val="bs-Latn-BA" w:eastAsia="bs-Latn-BA"/>
              </w:rPr>
              <w:t>Modernizacija sistema upravljanja ljudskim potencijalima u državnoj službi</w:t>
            </w:r>
          </w:p>
        </w:tc>
        <w:tc>
          <w:tcPr>
            <w:tcW w:w="2268" w:type="dxa"/>
            <w:shd w:val="clear" w:color="auto" w:fill="auto"/>
          </w:tcPr>
          <w:p w:rsidR="00C956F2" w:rsidRPr="007D3DD7" w:rsidRDefault="00C956F2" w:rsidP="00C956F2">
            <w:pPr>
              <w:autoSpaceDE w:val="0"/>
              <w:autoSpaceDN w:val="0"/>
              <w:adjustRightInd w:val="0"/>
              <w:jc w:val="center"/>
              <w:rPr>
                <w:rFonts w:asciiTheme="majorHAnsi" w:hAnsiTheme="majorHAnsi" w:cs="Arial"/>
                <w:sz w:val="22"/>
                <w:szCs w:val="22"/>
                <w:lang w:val="bs-Latn-BA"/>
              </w:rPr>
            </w:pPr>
            <w:r w:rsidRPr="007D3DD7">
              <w:rPr>
                <w:rFonts w:asciiTheme="majorHAnsi" w:hAnsiTheme="majorHAnsi" w:cs="Arial-BoldMT"/>
                <w:bCs/>
                <w:sz w:val="22"/>
                <w:szCs w:val="22"/>
                <w:lang w:val="bs-Latn-BA"/>
              </w:rPr>
              <w:t xml:space="preserve">EU (IPA 2011) / </w:t>
            </w:r>
            <w:r w:rsidRPr="007D3DD7">
              <w:rPr>
                <w:rFonts w:asciiTheme="majorHAnsi" w:hAnsiTheme="majorHAnsi" w:cs="Arial"/>
                <w:sz w:val="22"/>
                <w:szCs w:val="22"/>
                <w:lang w:val="bs-Latn-BA"/>
              </w:rPr>
              <w:t>1.769.000,00 EUR</w:t>
            </w:r>
          </w:p>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p>
        </w:tc>
        <w:tc>
          <w:tcPr>
            <w:tcW w:w="2977" w:type="dxa"/>
            <w:shd w:val="clear" w:color="auto" w:fill="auto"/>
          </w:tcPr>
          <w:p w:rsidR="00C956F2" w:rsidRPr="007D3DD7" w:rsidRDefault="00C956F2" w:rsidP="00C956F2">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 xml:space="preserve">Završen </w:t>
            </w:r>
          </w:p>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(27. 01. 2016.)</w:t>
            </w:r>
          </w:p>
        </w:tc>
      </w:tr>
      <w:tr w:rsidR="00C956F2" w:rsidRPr="007D3DD7" w:rsidTr="002B4A41">
        <w:tc>
          <w:tcPr>
            <w:tcW w:w="3969" w:type="dxa"/>
            <w:shd w:val="clear" w:color="auto" w:fill="auto"/>
          </w:tcPr>
          <w:p w:rsidR="00C956F2" w:rsidRPr="007D3DD7" w:rsidRDefault="00C956F2" w:rsidP="00A420FC">
            <w:pPr>
              <w:autoSpaceDE w:val="0"/>
              <w:autoSpaceDN w:val="0"/>
              <w:adjustRightInd w:val="0"/>
              <w:rPr>
                <w:rFonts w:asciiTheme="majorHAnsi" w:hAnsiTheme="majorHAnsi" w:cs="Arial-BoldMT"/>
                <w:bCs/>
                <w:sz w:val="22"/>
                <w:szCs w:val="22"/>
                <w:lang w:val="bs-Latn-BA" w:eastAsia="bs-Latn-BA"/>
              </w:rPr>
            </w:pPr>
            <w:r w:rsidRPr="007D3DD7">
              <w:rPr>
                <w:rFonts w:asciiTheme="majorHAnsi" w:hAnsiTheme="majorHAnsi" w:cs="Arial-BoldMT"/>
                <w:bCs/>
                <w:sz w:val="22"/>
                <w:szCs w:val="22"/>
                <w:lang w:val="bs-Latn-BA" w:eastAsia="bs-Latn-BA"/>
              </w:rPr>
              <w:t xml:space="preserve">Uspostavljanje savremenih odjela za upravljanje ljudskim potencijalima u </w:t>
            </w:r>
            <w:r w:rsidRPr="007D3DD7">
              <w:rPr>
                <w:rFonts w:asciiTheme="majorHAnsi" w:hAnsiTheme="majorHAnsi" w:cs="Arial-BoldMT"/>
                <w:bCs/>
                <w:sz w:val="22"/>
                <w:szCs w:val="22"/>
                <w:lang w:val="bs-Latn-BA" w:eastAsia="bs-Latn-BA"/>
              </w:rPr>
              <w:lastRenderedPageBreak/>
              <w:t>organima uprave u BiH</w:t>
            </w:r>
          </w:p>
        </w:tc>
        <w:tc>
          <w:tcPr>
            <w:tcW w:w="2268"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lastRenderedPageBreak/>
              <w:t xml:space="preserve">FRJU / </w:t>
            </w:r>
            <w:r w:rsidRPr="007D3DD7">
              <w:rPr>
                <w:rFonts w:asciiTheme="majorHAnsi" w:hAnsiTheme="majorHAnsi" w:cs="Arial-BoldMT"/>
                <w:bCs/>
                <w:sz w:val="22"/>
                <w:szCs w:val="22"/>
                <w:lang w:val="bs-Latn-BA" w:eastAsia="bs-Latn-BA"/>
              </w:rPr>
              <w:t>1.594.711,22 KM</w:t>
            </w:r>
          </w:p>
        </w:tc>
        <w:tc>
          <w:tcPr>
            <w:tcW w:w="2977"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Sredstva alocirana (projekat nije započeo)</w:t>
            </w:r>
          </w:p>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p>
        </w:tc>
      </w:tr>
      <w:tr w:rsidR="00C956F2" w:rsidRPr="007D3DD7" w:rsidTr="002B4A41">
        <w:tc>
          <w:tcPr>
            <w:tcW w:w="3969" w:type="dxa"/>
            <w:shd w:val="clear" w:color="auto" w:fill="auto"/>
          </w:tcPr>
          <w:p w:rsidR="00C956F2" w:rsidRPr="007D3DD7" w:rsidRDefault="00C956F2" w:rsidP="00A420FC">
            <w:pPr>
              <w:autoSpaceDE w:val="0"/>
              <w:autoSpaceDN w:val="0"/>
              <w:adjustRightInd w:val="0"/>
              <w:rPr>
                <w:rFonts w:asciiTheme="majorHAnsi" w:hAnsiTheme="majorHAnsi" w:cs="Arial-BoldMT"/>
                <w:bCs/>
                <w:sz w:val="22"/>
                <w:szCs w:val="22"/>
                <w:lang w:val="bs-Latn-BA" w:eastAsia="bs-Latn-BA"/>
              </w:rPr>
            </w:pPr>
            <w:r w:rsidRPr="007D3DD7">
              <w:rPr>
                <w:rFonts w:asciiTheme="majorHAnsi" w:hAnsiTheme="majorHAnsi" w:cs="Arial-BoldMT"/>
                <w:bCs/>
                <w:sz w:val="22"/>
                <w:szCs w:val="22"/>
                <w:lang w:val="bs-Latn-BA" w:eastAsia="bs-Latn-BA"/>
              </w:rPr>
              <w:lastRenderedPageBreak/>
              <w:t>Obuka zaposlenih koji obavljaju poslove državne uprave za primjenu informacionih tehnologija i rad na računarima</w:t>
            </w:r>
          </w:p>
        </w:tc>
        <w:tc>
          <w:tcPr>
            <w:tcW w:w="2268"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 xml:space="preserve">FRJU / </w:t>
            </w:r>
            <w:r w:rsidRPr="007D3DD7">
              <w:rPr>
                <w:rFonts w:asciiTheme="majorHAnsi" w:hAnsiTheme="majorHAnsi" w:cs="Arial-BoldMT"/>
                <w:bCs/>
                <w:sz w:val="22"/>
                <w:szCs w:val="22"/>
                <w:lang w:val="bs-Latn-BA" w:eastAsia="bs-Latn-BA"/>
              </w:rPr>
              <w:t>728.430,30 KM</w:t>
            </w:r>
          </w:p>
        </w:tc>
        <w:tc>
          <w:tcPr>
            <w:tcW w:w="2977"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Sredstva alocirana (projekat u postupku javne nabavke)</w:t>
            </w:r>
          </w:p>
        </w:tc>
      </w:tr>
      <w:tr w:rsidR="00C956F2" w:rsidRPr="007D3DD7" w:rsidTr="002B4A41">
        <w:tc>
          <w:tcPr>
            <w:tcW w:w="3969" w:type="dxa"/>
            <w:shd w:val="clear" w:color="auto" w:fill="auto"/>
          </w:tcPr>
          <w:p w:rsidR="00C956F2" w:rsidRPr="007D3DD7" w:rsidRDefault="00C956F2" w:rsidP="00A420FC">
            <w:pPr>
              <w:autoSpaceDE w:val="0"/>
              <w:autoSpaceDN w:val="0"/>
              <w:adjustRightInd w:val="0"/>
              <w:rPr>
                <w:rFonts w:asciiTheme="majorHAnsi" w:hAnsiTheme="majorHAnsi" w:cs="Arial-BoldMT"/>
                <w:bCs/>
                <w:sz w:val="22"/>
                <w:szCs w:val="22"/>
                <w:lang w:val="bs-Latn-BA" w:eastAsia="bs-Latn-BA"/>
              </w:rPr>
            </w:pPr>
            <w:r w:rsidRPr="007D3DD7">
              <w:rPr>
                <w:rFonts w:asciiTheme="majorHAnsi" w:hAnsiTheme="majorHAnsi" w:cs="Arial-BoldMT"/>
                <w:bCs/>
                <w:sz w:val="22"/>
                <w:szCs w:val="22"/>
                <w:lang w:val="bs-Latn-BA" w:eastAsia="bs-Latn-BA"/>
              </w:rPr>
              <w:t>Izgradnja kapaciteta za borbu protiv korupcije</w:t>
            </w:r>
          </w:p>
          <w:p w:rsidR="00C956F2" w:rsidRPr="007D3DD7" w:rsidRDefault="00C956F2" w:rsidP="00A420FC">
            <w:pPr>
              <w:autoSpaceDE w:val="0"/>
              <w:autoSpaceDN w:val="0"/>
              <w:adjustRightInd w:val="0"/>
              <w:rPr>
                <w:rFonts w:asciiTheme="majorHAnsi" w:hAnsiTheme="majorHAnsi" w:cs="Arial-BoldMT"/>
                <w:bCs/>
                <w:sz w:val="22"/>
                <w:szCs w:val="22"/>
                <w:lang w:val="bs-Latn-BA" w:eastAsia="bs-Latn-BA"/>
              </w:rPr>
            </w:pPr>
            <w:r w:rsidRPr="007D3DD7">
              <w:rPr>
                <w:rFonts w:asciiTheme="majorHAnsi" w:hAnsiTheme="majorHAnsi" w:cs="Arial-BoldMT"/>
                <w:bCs/>
                <w:sz w:val="22"/>
                <w:szCs w:val="22"/>
                <w:lang w:val="bs-Latn-BA" w:eastAsia="bs-Latn-BA"/>
              </w:rPr>
              <w:t>u strukturama državne službe BiH</w:t>
            </w:r>
          </w:p>
        </w:tc>
        <w:tc>
          <w:tcPr>
            <w:tcW w:w="2268"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 xml:space="preserve">FRJU / </w:t>
            </w:r>
            <w:r w:rsidRPr="007D3DD7">
              <w:rPr>
                <w:rFonts w:asciiTheme="majorHAnsi" w:hAnsiTheme="majorHAnsi" w:cs="ArialMT"/>
                <w:sz w:val="22"/>
                <w:szCs w:val="22"/>
                <w:lang w:val="bs-Latn-BA" w:eastAsia="bs-Latn-BA"/>
              </w:rPr>
              <w:t>500.000,00 KM</w:t>
            </w:r>
          </w:p>
        </w:tc>
        <w:tc>
          <w:tcPr>
            <w:tcW w:w="2977"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Sredstva alocirana (projekat u postupku javne nabavke)</w:t>
            </w:r>
          </w:p>
        </w:tc>
      </w:tr>
      <w:tr w:rsidR="00C956F2" w:rsidRPr="007D3DD7" w:rsidTr="002B4A41">
        <w:tc>
          <w:tcPr>
            <w:tcW w:w="3969" w:type="dxa"/>
            <w:shd w:val="clear" w:color="auto" w:fill="auto"/>
          </w:tcPr>
          <w:p w:rsidR="00C956F2" w:rsidRPr="007D3DD7" w:rsidRDefault="00C956F2" w:rsidP="00A420FC">
            <w:pPr>
              <w:autoSpaceDE w:val="0"/>
              <w:autoSpaceDN w:val="0"/>
              <w:adjustRightInd w:val="0"/>
              <w:rPr>
                <w:rFonts w:asciiTheme="majorHAnsi" w:hAnsiTheme="majorHAnsi" w:cs="Arial-BoldMT"/>
                <w:bCs/>
                <w:sz w:val="22"/>
                <w:szCs w:val="22"/>
                <w:lang w:val="bs-Latn-BA" w:eastAsia="bs-Latn-BA"/>
              </w:rPr>
            </w:pPr>
            <w:r w:rsidRPr="007D3DD7">
              <w:rPr>
                <w:rFonts w:asciiTheme="majorHAnsi" w:hAnsiTheme="majorHAnsi" w:cs="ArialMT"/>
                <w:sz w:val="22"/>
                <w:szCs w:val="22"/>
                <w:lang w:val="bs-Latn-BA" w:eastAsia="bs-Latn-BA"/>
              </w:rPr>
              <w:t>Razvoj elektronskih obuka za potrebe državne službe/uprave u BiH</w:t>
            </w:r>
          </w:p>
        </w:tc>
        <w:tc>
          <w:tcPr>
            <w:tcW w:w="2268"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 xml:space="preserve">FRJU / </w:t>
            </w:r>
            <w:r w:rsidRPr="007D3DD7">
              <w:rPr>
                <w:rFonts w:asciiTheme="majorHAnsi" w:hAnsiTheme="majorHAnsi" w:cs="Arial"/>
                <w:sz w:val="22"/>
                <w:szCs w:val="22"/>
                <w:lang w:val="bs-Latn-BA"/>
              </w:rPr>
              <w:t>265.990,14 KM</w:t>
            </w:r>
          </w:p>
        </w:tc>
        <w:tc>
          <w:tcPr>
            <w:tcW w:w="2977" w:type="dxa"/>
            <w:shd w:val="clear" w:color="auto" w:fill="auto"/>
          </w:tcPr>
          <w:p w:rsidR="00C956F2" w:rsidRPr="007D3DD7" w:rsidRDefault="00C956F2" w:rsidP="00106137">
            <w:pPr>
              <w:autoSpaceDE w:val="0"/>
              <w:autoSpaceDN w:val="0"/>
              <w:adjustRightInd w:val="0"/>
              <w:jc w:val="center"/>
              <w:rPr>
                <w:rFonts w:asciiTheme="majorHAnsi" w:hAnsiTheme="majorHAnsi" w:cs="Arial-BoldMT"/>
                <w:bCs/>
                <w:color w:val="FF0000"/>
                <w:sz w:val="22"/>
                <w:szCs w:val="22"/>
                <w:lang w:val="bs-Latn-BA"/>
              </w:rPr>
            </w:pPr>
            <w:r w:rsidRPr="007D3DD7">
              <w:rPr>
                <w:rFonts w:asciiTheme="majorHAnsi" w:hAnsiTheme="majorHAnsi" w:cs="Arial-BoldMT"/>
                <w:bCs/>
                <w:sz w:val="22"/>
                <w:szCs w:val="22"/>
                <w:lang w:val="bs-Latn-BA"/>
              </w:rPr>
              <w:t>Sredstva rezervisana (projekat u postupku odobravanja projektne dokumentacije)</w:t>
            </w:r>
          </w:p>
        </w:tc>
      </w:tr>
      <w:tr w:rsidR="00C956F2" w:rsidRPr="007D3DD7" w:rsidTr="002B4A41">
        <w:tc>
          <w:tcPr>
            <w:tcW w:w="3969" w:type="dxa"/>
            <w:shd w:val="clear" w:color="auto" w:fill="auto"/>
          </w:tcPr>
          <w:p w:rsidR="00C956F2" w:rsidRPr="007D3DD7" w:rsidRDefault="00C956F2" w:rsidP="00A420FC">
            <w:pPr>
              <w:autoSpaceDE w:val="0"/>
              <w:autoSpaceDN w:val="0"/>
              <w:adjustRightInd w:val="0"/>
              <w:rPr>
                <w:rFonts w:asciiTheme="majorHAnsi" w:hAnsiTheme="majorHAnsi" w:cs="ArialMT"/>
                <w:sz w:val="22"/>
                <w:szCs w:val="22"/>
                <w:lang w:val="bs-Latn-BA" w:eastAsia="bs-Latn-BA"/>
              </w:rPr>
            </w:pPr>
            <w:r w:rsidRPr="007D3DD7">
              <w:rPr>
                <w:rFonts w:asciiTheme="majorHAnsi" w:hAnsiTheme="majorHAnsi" w:cs="Arial"/>
                <w:sz w:val="22"/>
                <w:szCs w:val="22"/>
                <w:lang w:val="bs-Latn-BA"/>
              </w:rPr>
              <w:t>Pojednostavljenje i unapređenje zapošljavanja u državnu službu</w:t>
            </w:r>
          </w:p>
        </w:tc>
        <w:tc>
          <w:tcPr>
            <w:tcW w:w="2268"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 xml:space="preserve">FRJU / 500.000,00 KM </w:t>
            </w:r>
          </w:p>
        </w:tc>
        <w:tc>
          <w:tcPr>
            <w:tcW w:w="2977"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Planirana sredstva (projekat u postupku odobravanja projektne dokumentacije)</w:t>
            </w:r>
          </w:p>
        </w:tc>
      </w:tr>
      <w:tr w:rsidR="00C956F2" w:rsidRPr="007D3DD7" w:rsidTr="002B4A41">
        <w:tc>
          <w:tcPr>
            <w:tcW w:w="3969" w:type="dxa"/>
            <w:shd w:val="clear" w:color="auto" w:fill="auto"/>
          </w:tcPr>
          <w:p w:rsidR="00C956F2" w:rsidRPr="007D3DD7" w:rsidRDefault="00C956F2" w:rsidP="00A420FC">
            <w:pPr>
              <w:autoSpaceDE w:val="0"/>
              <w:autoSpaceDN w:val="0"/>
              <w:adjustRightInd w:val="0"/>
              <w:rPr>
                <w:rFonts w:asciiTheme="majorHAnsi" w:hAnsiTheme="majorHAnsi" w:cs="Arial"/>
                <w:sz w:val="22"/>
                <w:szCs w:val="22"/>
                <w:lang w:val="bs-Latn-BA"/>
              </w:rPr>
            </w:pPr>
            <w:r w:rsidRPr="007D3DD7">
              <w:rPr>
                <w:rFonts w:asciiTheme="majorHAnsi" w:hAnsiTheme="majorHAnsi" w:cs="Arial"/>
                <w:sz w:val="22"/>
                <w:szCs w:val="22"/>
                <w:lang w:val="bs-Latn-BA"/>
              </w:rPr>
              <w:t>Unapređenje procesa analize potreba i evaluacije efekata obuke</w:t>
            </w:r>
          </w:p>
        </w:tc>
        <w:tc>
          <w:tcPr>
            <w:tcW w:w="2268"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 xml:space="preserve">FRJU / </w:t>
            </w:r>
            <w:r w:rsidRPr="007D3DD7">
              <w:rPr>
                <w:rFonts w:asciiTheme="majorHAnsi" w:hAnsiTheme="majorHAnsi" w:cs="Arial"/>
                <w:sz w:val="22"/>
                <w:szCs w:val="22"/>
                <w:lang w:val="bs-Latn-BA"/>
              </w:rPr>
              <w:t>198.000,00 KM</w:t>
            </w:r>
          </w:p>
        </w:tc>
        <w:tc>
          <w:tcPr>
            <w:tcW w:w="2977"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Planirana sredstva (projekat u postupku odobravanja projektne dokumentacije)</w:t>
            </w:r>
          </w:p>
        </w:tc>
      </w:tr>
      <w:tr w:rsidR="00C956F2" w:rsidRPr="007D3DD7" w:rsidTr="002B4A41">
        <w:tc>
          <w:tcPr>
            <w:tcW w:w="3969" w:type="dxa"/>
            <w:shd w:val="clear" w:color="auto" w:fill="auto"/>
          </w:tcPr>
          <w:p w:rsidR="00C956F2" w:rsidRPr="007D3DD7" w:rsidRDefault="00C956F2" w:rsidP="00A420FC">
            <w:pPr>
              <w:autoSpaceDE w:val="0"/>
              <w:autoSpaceDN w:val="0"/>
              <w:adjustRightInd w:val="0"/>
              <w:rPr>
                <w:rFonts w:asciiTheme="majorHAnsi" w:hAnsiTheme="majorHAnsi" w:cs="Arial"/>
                <w:sz w:val="22"/>
                <w:szCs w:val="22"/>
                <w:lang w:val="bs-Latn-BA"/>
              </w:rPr>
            </w:pPr>
            <w:r w:rsidRPr="007D3DD7">
              <w:rPr>
                <w:rFonts w:asciiTheme="majorHAnsi" w:hAnsiTheme="majorHAnsi" w:cs="Arial-BoldMT"/>
                <w:bCs/>
                <w:sz w:val="22"/>
                <w:szCs w:val="22"/>
                <w:lang w:val="bs-Latn-BA" w:eastAsia="bs-Latn-BA"/>
              </w:rPr>
              <w:t>Unapređenje informacionog sistema u ADS FBiH za ULJP (HRMIS) sa softverskim modulima u cilju davanja podrške RJU</w:t>
            </w:r>
          </w:p>
        </w:tc>
        <w:tc>
          <w:tcPr>
            <w:tcW w:w="2268" w:type="dxa"/>
            <w:shd w:val="clear" w:color="auto" w:fill="auto"/>
          </w:tcPr>
          <w:p w:rsidR="00C956F2" w:rsidRPr="007D3DD7" w:rsidRDefault="00C956F2" w:rsidP="00A420FC">
            <w:pPr>
              <w:autoSpaceDE w:val="0"/>
              <w:autoSpaceDN w:val="0"/>
              <w:adjustRightInd w:val="0"/>
              <w:jc w:val="center"/>
              <w:rPr>
                <w:rFonts w:asciiTheme="majorHAnsi" w:hAnsiTheme="majorHAnsi" w:cs="Arial"/>
                <w:sz w:val="22"/>
                <w:szCs w:val="22"/>
                <w:lang w:val="bs-Latn-BA"/>
              </w:rPr>
            </w:pPr>
            <w:r w:rsidRPr="007D3DD7">
              <w:rPr>
                <w:rFonts w:asciiTheme="majorHAnsi" w:hAnsiTheme="majorHAnsi" w:cs="Arial-BoldMT"/>
                <w:bCs/>
                <w:sz w:val="22"/>
                <w:szCs w:val="22"/>
                <w:lang w:val="bs-Latn-BA"/>
              </w:rPr>
              <w:t xml:space="preserve">FRJU / </w:t>
            </w:r>
            <w:r w:rsidRPr="007D3DD7">
              <w:rPr>
                <w:rFonts w:asciiTheme="majorHAnsi" w:hAnsiTheme="majorHAnsi" w:cs="Arial"/>
                <w:sz w:val="22"/>
                <w:szCs w:val="22"/>
                <w:lang w:val="bs-Latn-BA"/>
              </w:rPr>
              <w:t>210.740,40 KM</w:t>
            </w:r>
          </w:p>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p>
        </w:tc>
        <w:tc>
          <w:tcPr>
            <w:tcW w:w="2977" w:type="dxa"/>
            <w:shd w:val="clear" w:color="auto" w:fill="auto"/>
          </w:tcPr>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r w:rsidRPr="007D3DD7">
              <w:rPr>
                <w:rFonts w:asciiTheme="majorHAnsi" w:hAnsiTheme="majorHAnsi" w:cs="Arial-BoldMT"/>
                <w:bCs/>
                <w:sz w:val="22"/>
                <w:szCs w:val="22"/>
                <w:lang w:val="bs-Latn-BA"/>
              </w:rPr>
              <w:t>Planirana sredstva (projekat u postupku odobravanja projektne dokumentacije)</w:t>
            </w:r>
          </w:p>
          <w:p w:rsidR="00C956F2" w:rsidRPr="007D3DD7" w:rsidRDefault="00C956F2" w:rsidP="00A420FC">
            <w:pPr>
              <w:autoSpaceDE w:val="0"/>
              <w:autoSpaceDN w:val="0"/>
              <w:adjustRightInd w:val="0"/>
              <w:jc w:val="center"/>
              <w:rPr>
                <w:rFonts w:asciiTheme="majorHAnsi" w:hAnsiTheme="majorHAnsi" w:cs="Arial-BoldMT"/>
                <w:bCs/>
                <w:sz w:val="22"/>
                <w:szCs w:val="22"/>
                <w:lang w:val="bs-Latn-BA"/>
              </w:rPr>
            </w:pPr>
          </w:p>
        </w:tc>
      </w:tr>
    </w:tbl>
    <w:p w:rsidR="00A35C0E" w:rsidRDefault="00A35C0E">
      <w:pPr>
        <w:rPr>
          <w:rFonts w:ascii="Calibri" w:eastAsia="Calibri" w:hAnsi="Calibri"/>
          <w:b/>
          <w:sz w:val="22"/>
          <w:szCs w:val="22"/>
          <w:lang w:val="bs-Latn-BA"/>
        </w:rPr>
      </w:pPr>
    </w:p>
    <w:p w:rsidR="00976929" w:rsidRPr="007D3DD7" w:rsidRDefault="0041049B" w:rsidP="0041049B">
      <w:pPr>
        <w:pStyle w:val="NoSpacing"/>
        <w:spacing w:before="240"/>
        <w:ind w:right="-6"/>
        <w:rPr>
          <w:rFonts w:asciiTheme="majorHAnsi" w:hAnsiTheme="majorHAnsi"/>
          <w:lang w:val="bs-Latn-BA"/>
        </w:rPr>
      </w:pPr>
      <w:r w:rsidRPr="0041049B">
        <w:rPr>
          <w:b/>
          <w:lang w:val="bs-Latn-BA"/>
        </w:rPr>
        <w:t>ZAKLJUČCI</w:t>
      </w:r>
    </w:p>
    <w:p w:rsidR="001C34FF" w:rsidRPr="007D3DD7" w:rsidRDefault="001C34FF"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Dosadašnje reforme u oblasti upravljanja ljudskim potencijalima (HRM) u cjelini, uključujući i 2015. godinu u strukturama državne</w:t>
      </w:r>
      <w:r w:rsidR="001C34FF" w:rsidRPr="007D3DD7">
        <w:rPr>
          <w:rFonts w:asciiTheme="majorHAnsi" w:hAnsiTheme="majorHAnsi"/>
          <w:sz w:val="22"/>
          <w:szCs w:val="22"/>
          <w:lang w:val="bs-Latn-BA"/>
        </w:rPr>
        <w:t xml:space="preserve"> službe u BiH ni svojim obimom </w:t>
      </w:r>
      <w:r w:rsidRPr="007D3DD7">
        <w:rPr>
          <w:rFonts w:asciiTheme="majorHAnsi" w:hAnsiTheme="majorHAnsi"/>
          <w:sz w:val="22"/>
          <w:szCs w:val="22"/>
          <w:lang w:val="bs-Latn-BA"/>
        </w:rPr>
        <w:t>a ni dubinom</w:t>
      </w:r>
      <w:r w:rsidR="001C34FF" w:rsidRPr="007D3DD7">
        <w:rPr>
          <w:rFonts w:asciiTheme="majorHAnsi" w:hAnsiTheme="majorHAnsi"/>
          <w:sz w:val="22"/>
          <w:szCs w:val="22"/>
          <w:lang w:val="bs-Latn-BA"/>
        </w:rPr>
        <w:t>,</w:t>
      </w:r>
      <w:r w:rsidRPr="007D3DD7">
        <w:rPr>
          <w:rFonts w:asciiTheme="majorHAnsi" w:hAnsiTheme="majorHAnsi"/>
          <w:sz w:val="22"/>
          <w:szCs w:val="22"/>
          <w:lang w:val="bs-Latn-BA"/>
        </w:rPr>
        <w:t xml:space="preserve"> nisu ispunile očekivanja. </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Glavni problem reformi HRM-a i dalje je s</w:t>
      </w:r>
      <w:r w:rsidR="001C34FF" w:rsidRPr="007D3DD7">
        <w:rPr>
          <w:rFonts w:asciiTheme="majorHAnsi" w:hAnsiTheme="majorHAnsi"/>
          <w:sz w:val="22"/>
          <w:szCs w:val="22"/>
          <w:lang w:val="bs-Latn-BA"/>
        </w:rPr>
        <w:t>laba politička podrška</w:t>
      </w:r>
      <w:r w:rsidRPr="007D3DD7">
        <w:rPr>
          <w:rFonts w:asciiTheme="majorHAnsi" w:hAnsiTheme="majorHAnsi"/>
          <w:sz w:val="22"/>
          <w:szCs w:val="22"/>
          <w:lang w:val="bs-Latn-BA"/>
        </w:rPr>
        <w:t>, nedovoljno učinkovit sistem koordinaci</w:t>
      </w:r>
      <w:r w:rsidR="001C34FF" w:rsidRPr="007D3DD7">
        <w:rPr>
          <w:rFonts w:asciiTheme="majorHAnsi" w:hAnsiTheme="majorHAnsi"/>
          <w:sz w:val="22"/>
          <w:szCs w:val="22"/>
          <w:lang w:val="bs-Latn-BA"/>
        </w:rPr>
        <w:t>je, politizacija državne službe,</w:t>
      </w:r>
      <w:r w:rsidRPr="007D3DD7">
        <w:rPr>
          <w:rFonts w:asciiTheme="majorHAnsi" w:hAnsiTheme="majorHAnsi"/>
          <w:sz w:val="22"/>
          <w:szCs w:val="22"/>
          <w:lang w:val="bs-Latn-BA"/>
        </w:rPr>
        <w:t xml:space="preserve"> kao i nedostatak opštih menadžerskih vještina kod postojeće strukture rukovodilaca. </w:t>
      </w:r>
      <w:r w:rsidR="001C34FF" w:rsidRPr="007D3DD7">
        <w:rPr>
          <w:rFonts w:asciiTheme="majorHAnsi" w:hAnsiTheme="majorHAnsi"/>
          <w:sz w:val="22"/>
          <w:szCs w:val="22"/>
          <w:lang w:val="bs-Latn-BA"/>
        </w:rPr>
        <w:t xml:space="preserve">U prošloj godini je naročito </w:t>
      </w:r>
      <w:r w:rsidR="0006487E" w:rsidRPr="007D3DD7">
        <w:rPr>
          <w:rFonts w:asciiTheme="majorHAnsi" w:hAnsiTheme="majorHAnsi"/>
          <w:sz w:val="22"/>
          <w:szCs w:val="22"/>
          <w:lang w:val="bs-Latn-BA"/>
        </w:rPr>
        <w:t xml:space="preserve">bio izražen trend daljnje politizacije državne službe, kako kroz usvajanje izrazito štetnih rješenja u ZDS FBiH, tako i kroz pripremu sličnih rješenja na državnom nivou i u RS-u. </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Postupak zapošljavanja nastavlja da izaziva najviše polemika u javnosti, jer su građani izgubili povjerenje u objektivnost i nepristrasnost onih koji donose odluku o tome ko je najbolji, odnosno ko su uspješni kandidati. Nužno je osigurati da se </w:t>
      </w:r>
      <w:r w:rsidR="001C34FF" w:rsidRPr="007D3DD7">
        <w:rPr>
          <w:rFonts w:asciiTheme="majorHAnsi" w:hAnsiTheme="majorHAnsi"/>
          <w:sz w:val="22"/>
          <w:szCs w:val="22"/>
          <w:lang w:val="bs-Latn-BA"/>
        </w:rPr>
        <w:t xml:space="preserve">kroz nove propise na svim nivoima u BiH </w:t>
      </w:r>
      <w:r w:rsidRPr="007D3DD7">
        <w:rPr>
          <w:rFonts w:asciiTheme="majorHAnsi" w:hAnsiTheme="majorHAnsi"/>
          <w:sz w:val="22"/>
          <w:szCs w:val="22"/>
          <w:lang w:val="bs-Latn-BA"/>
        </w:rPr>
        <w:t>ustanove jasni kriteriji odabira na osnovu okvira kompetencija</w:t>
      </w:r>
      <w:r w:rsidR="001C34FF" w:rsidRPr="007D3DD7">
        <w:rPr>
          <w:rFonts w:asciiTheme="majorHAnsi" w:hAnsiTheme="majorHAnsi"/>
          <w:sz w:val="22"/>
          <w:szCs w:val="22"/>
          <w:lang w:val="bs-Latn-BA"/>
        </w:rPr>
        <w:t xml:space="preserve"> i uz puno poštivanje principa meritornosti.</w:t>
      </w:r>
      <w:r w:rsidR="0006487E" w:rsidRPr="007D3DD7">
        <w:rPr>
          <w:rFonts w:asciiTheme="majorHAnsi" w:hAnsiTheme="majorHAnsi"/>
          <w:sz w:val="22"/>
          <w:szCs w:val="22"/>
          <w:lang w:val="bs-Latn-BA"/>
        </w:rPr>
        <w:t xml:space="preserve"> </w:t>
      </w:r>
      <w:r w:rsidR="001C34FF" w:rsidRPr="007D3DD7">
        <w:rPr>
          <w:rFonts w:asciiTheme="majorHAnsi" w:hAnsiTheme="majorHAnsi"/>
          <w:sz w:val="22"/>
          <w:szCs w:val="22"/>
          <w:lang w:val="bs-Latn-BA"/>
        </w:rPr>
        <w:t xml:space="preserve"> </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Profesionalni razvoj državnih službenika </w:t>
      </w:r>
      <w:r w:rsidR="0006487E" w:rsidRPr="007D3DD7">
        <w:rPr>
          <w:rFonts w:asciiTheme="majorHAnsi" w:hAnsiTheme="majorHAnsi"/>
          <w:sz w:val="22"/>
          <w:szCs w:val="22"/>
          <w:lang w:val="bs-Latn-BA"/>
        </w:rPr>
        <w:t>je vjerovatno jedina oblast koja bi mogla dobiti prolaznu ocjenu. Obuke se izvode u kontinuitetu, mada bi se bez upliva projekata tehničke pomoći te obuke svele na učenje stranih jezika i rad na računaru. Analiza potreba za obukom je također postala puka formalnost.</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976929">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t xml:space="preserve">Dosadašnje aktivnosti u oblasti TQM-a uglavnom su bile usmjerene na podizanje svijesti o potrebi da se u upravu uvedu standardi kvaliteta, </w:t>
      </w:r>
      <w:r w:rsidR="0006487E" w:rsidRPr="007D3DD7">
        <w:rPr>
          <w:rFonts w:asciiTheme="majorHAnsi" w:hAnsiTheme="majorHAnsi"/>
          <w:sz w:val="22"/>
          <w:szCs w:val="22"/>
          <w:lang w:val="bs-Latn-BA"/>
        </w:rPr>
        <w:t>ali rezultati monitoringa nisu pokazali neki značajniji napredak u informisanosti HRM osoblja u pojedinačnim institucijama</w:t>
      </w:r>
      <w:r w:rsidRPr="007D3DD7">
        <w:rPr>
          <w:rFonts w:asciiTheme="majorHAnsi" w:hAnsiTheme="majorHAnsi"/>
          <w:sz w:val="22"/>
          <w:szCs w:val="22"/>
          <w:lang w:val="bs-Latn-BA"/>
        </w:rPr>
        <w:t>.</w:t>
      </w:r>
    </w:p>
    <w:p w:rsidR="00976929" w:rsidRPr="007D3DD7" w:rsidRDefault="00976929" w:rsidP="00976929">
      <w:pPr>
        <w:spacing w:before="60" w:after="60"/>
        <w:jc w:val="both"/>
        <w:rPr>
          <w:rFonts w:asciiTheme="majorHAnsi" w:hAnsiTheme="majorHAnsi"/>
          <w:sz w:val="22"/>
          <w:szCs w:val="22"/>
          <w:lang w:val="bs-Latn-BA"/>
        </w:rPr>
      </w:pPr>
    </w:p>
    <w:p w:rsidR="00976929" w:rsidRPr="007D3DD7" w:rsidRDefault="00976929" w:rsidP="00A7570D">
      <w:pPr>
        <w:spacing w:before="60" w:after="60"/>
        <w:jc w:val="both"/>
        <w:rPr>
          <w:rFonts w:asciiTheme="majorHAnsi" w:hAnsiTheme="majorHAnsi"/>
          <w:sz w:val="22"/>
          <w:szCs w:val="22"/>
          <w:lang w:val="bs-Latn-BA"/>
        </w:rPr>
      </w:pPr>
      <w:r w:rsidRPr="007D3DD7">
        <w:rPr>
          <w:rFonts w:asciiTheme="majorHAnsi" w:hAnsiTheme="majorHAnsi"/>
          <w:sz w:val="22"/>
          <w:szCs w:val="22"/>
          <w:lang w:val="bs-Latn-BA"/>
        </w:rPr>
        <w:lastRenderedPageBreak/>
        <w:t xml:space="preserve">Sve u svemu, </w:t>
      </w:r>
      <w:r w:rsidR="00A7570D" w:rsidRPr="007D3DD7">
        <w:rPr>
          <w:rFonts w:asciiTheme="majorHAnsi" w:hAnsiTheme="majorHAnsi"/>
          <w:sz w:val="22"/>
          <w:szCs w:val="22"/>
          <w:lang w:val="bs-Latn-BA"/>
        </w:rPr>
        <w:t xml:space="preserve">određenog </w:t>
      </w:r>
      <w:r w:rsidRPr="007D3DD7">
        <w:rPr>
          <w:rFonts w:asciiTheme="majorHAnsi" w:hAnsiTheme="majorHAnsi"/>
          <w:sz w:val="22"/>
          <w:szCs w:val="22"/>
          <w:lang w:val="bs-Latn-BA"/>
        </w:rPr>
        <w:t xml:space="preserve">napretka u oblasti upravljanja ljudskim potencijalima ima, ali je taj napredak u velikom nesrazmjeru sa uloženim resursima. </w:t>
      </w:r>
      <w:r w:rsidR="00A7570D" w:rsidRPr="007D3DD7">
        <w:rPr>
          <w:rFonts w:asciiTheme="majorHAnsi" w:hAnsiTheme="majorHAnsi"/>
          <w:sz w:val="22"/>
          <w:szCs w:val="22"/>
          <w:lang w:val="bs-Latn-BA"/>
        </w:rPr>
        <w:t xml:space="preserve">U prilog rečenom ide i konstatacija EK u </w:t>
      </w:r>
      <w:r w:rsidRPr="007D3DD7">
        <w:rPr>
          <w:rFonts w:asciiTheme="majorHAnsi" w:hAnsiTheme="majorHAnsi"/>
          <w:sz w:val="22"/>
          <w:szCs w:val="22"/>
          <w:lang w:val="bs-Latn-BA"/>
        </w:rPr>
        <w:t xml:space="preserve">Izvještaju o napretku BiH </w:t>
      </w:r>
      <w:r w:rsidR="00A7570D" w:rsidRPr="007D3DD7">
        <w:rPr>
          <w:rFonts w:asciiTheme="majorHAnsi" w:hAnsiTheme="majorHAnsi"/>
          <w:sz w:val="22"/>
          <w:szCs w:val="22"/>
          <w:lang w:val="bs-Latn-BA"/>
        </w:rPr>
        <w:t>za</w:t>
      </w:r>
      <w:r w:rsidRPr="007D3DD7">
        <w:rPr>
          <w:rFonts w:asciiTheme="majorHAnsi" w:hAnsiTheme="majorHAnsi"/>
          <w:sz w:val="22"/>
          <w:szCs w:val="22"/>
          <w:lang w:val="bs-Latn-BA"/>
        </w:rPr>
        <w:t xml:space="preserve"> 2015. </w:t>
      </w:r>
      <w:r w:rsidR="00A7570D" w:rsidRPr="007D3DD7">
        <w:rPr>
          <w:rFonts w:asciiTheme="majorHAnsi" w:hAnsiTheme="majorHAnsi"/>
          <w:sz w:val="22"/>
          <w:szCs w:val="22"/>
          <w:lang w:val="bs-Latn-BA"/>
        </w:rPr>
        <w:t xml:space="preserve">godinu koji naglašava da nosioci reformskih aktivnosti trebaju </w:t>
      </w:r>
      <w:r w:rsidRPr="007D3DD7">
        <w:rPr>
          <w:rFonts w:asciiTheme="majorHAnsi" w:hAnsiTheme="majorHAnsi"/>
          <w:sz w:val="22"/>
          <w:szCs w:val="22"/>
          <w:lang w:val="bs-Latn-BA"/>
        </w:rPr>
        <w:t>osigurati provedbu efikasnog sistema upravljanja ljudskim potencijalima</w:t>
      </w:r>
      <w:r w:rsidR="00A7570D" w:rsidRPr="007D3DD7">
        <w:rPr>
          <w:rFonts w:asciiTheme="majorHAnsi" w:hAnsiTheme="majorHAnsi"/>
          <w:sz w:val="22"/>
          <w:szCs w:val="22"/>
          <w:lang w:val="bs-Latn-BA"/>
        </w:rPr>
        <w:t xml:space="preserve">. </w:t>
      </w:r>
    </w:p>
    <w:p w:rsidR="00976929" w:rsidRPr="007D3DD7" w:rsidRDefault="00976929" w:rsidP="00976929">
      <w:pPr>
        <w:spacing w:before="60" w:after="60"/>
        <w:rPr>
          <w:rFonts w:asciiTheme="majorHAnsi" w:hAnsiTheme="majorHAnsi"/>
          <w:b/>
          <w:sz w:val="22"/>
          <w:szCs w:val="22"/>
          <w:lang w:val="bs-Latn-BA"/>
        </w:rPr>
      </w:pPr>
    </w:p>
    <w:p w:rsidR="008019ED" w:rsidRPr="007D3DD7" w:rsidRDefault="008019ED" w:rsidP="00976929">
      <w:pPr>
        <w:spacing w:before="60" w:after="60"/>
        <w:jc w:val="both"/>
        <w:rPr>
          <w:rFonts w:asciiTheme="majorHAnsi" w:hAnsiTheme="majorHAnsi"/>
          <w:sz w:val="22"/>
          <w:szCs w:val="22"/>
          <w:lang w:val="bs-Latn-BA"/>
        </w:rPr>
      </w:pPr>
    </w:p>
    <w:p w:rsidR="008019ED" w:rsidRPr="007D3DD7" w:rsidRDefault="008019ED" w:rsidP="00976929">
      <w:pPr>
        <w:spacing w:before="60" w:after="60"/>
        <w:jc w:val="both"/>
        <w:rPr>
          <w:rFonts w:asciiTheme="majorHAnsi" w:hAnsiTheme="majorHAnsi"/>
          <w:sz w:val="22"/>
          <w:szCs w:val="22"/>
          <w:lang w:val="bs-Latn-BA"/>
        </w:rPr>
      </w:pPr>
    </w:p>
    <w:p w:rsidR="00976929" w:rsidRPr="007D3DD7" w:rsidRDefault="00976929" w:rsidP="008019ED">
      <w:pPr>
        <w:spacing w:before="60" w:after="60"/>
        <w:jc w:val="both"/>
        <w:rPr>
          <w:rFonts w:asciiTheme="majorHAnsi" w:hAnsiTheme="majorHAnsi"/>
          <w:sz w:val="22"/>
          <w:szCs w:val="22"/>
          <w:shd w:val="clear" w:color="auto" w:fill="FFFFFF"/>
          <w:lang w:val="bs-Latn-BA"/>
        </w:rPr>
      </w:pPr>
      <w:r w:rsidRPr="007D3DD7">
        <w:rPr>
          <w:rFonts w:asciiTheme="majorHAnsi" w:hAnsiTheme="majorHAnsi"/>
          <w:sz w:val="22"/>
          <w:szCs w:val="22"/>
          <w:lang w:val="bs-Latn-BA"/>
        </w:rPr>
        <w:br w:type="page"/>
      </w:r>
      <w:r w:rsidRPr="007D3DD7">
        <w:rPr>
          <w:rFonts w:asciiTheme="majorHAnsi" w:hAnsiTheme="majorHAnsi"/>
          <w:sz w:val="22"/>
          <w:szCs w:val="22"/>
          <w:shd w:val="clear" w:color="auto" w:fill="FFFFFF"/>
          <w:lang w:val="bs-Latn-BA"/>
        </w:rPr>
        <w:lastRenderedPageBreak/>
        <w:t>Aneks 1</w:t>
      </w:r>
    </w:p>
    <w:p w:rsidR="00976929" w:rsidRPr="007D3DD7" w:rsidRDefault="00976929" w:rsidP="00976929">
      <w:pPr>
        <w:spacing w:before="60" w:after="60"/>
        <w:jc w:val="center"/>
        <w:rPr>
          <w:rFonts w:asciiTheme="majorHAnsi" w:hAnsiTheme="majorHAnsi"/>
          <w:b/>
          <w:sz w:val="22"/>
          <w:szCs w:val="22"/>
          <w:u w:val="single"/>
          <w:shd w:val="clear" w:color="auto" w:fill="FFFFFF"/>
          <w:lang w:val="bs-Latn-BA"/>
        </w:rPr>
      </w:pPr>
    </w:p>
    <w:p w:rsidR="00976929" w:rsidRDefault="00976929" w:rsidP="00976929">
      <w:pPr>
        <w:spacing w:before="60" w:after="60"/>
        <w:jc w:val="cente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TABELARNI PREGLED POPUNJENIH UPITNIKA/ODRŽANIH SASTANAKA</w:t>
      </w:r>
    </w:p>
    <w:p w:rsidR="00A30BB2" w:rsidRPr="00A30BB2" w:rsidRDefault="00A30BB2" w:rsidP="00976929">
      <w:pPr>
        <w:spacing w:before="60" w:after="60"/>
        <w:jc w:val="center"/>
        <w:rPr>
          <w:rFonts w:asciiTheme="majorHAnsi" w:hAnsiTheme="majorHAnsi" w:cs="Arial-BoldMT"/>
          <w:bCs/>
          <w:sz w:val="22"/>
          <w:szCs w:val="22"/>
          <w:lang w:val="bs-Latn-BA" w:eastAsia="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gridCol w:w="2693"/>
      </w:tblGrid>
      <w:tr w:rsidR="00976929" w:rsidRPr="007D3DD7" w:rsidTr="00A30BB2">
        <w:tc>
          <w:tcPr>
            <w:tcW w:w="3936" w:type="dxa"/>
            <w:shd w:val="clear" w:color="auto" w:fill="auto"/>
          </w:tcPr>
          <w:p w:rsidR="00976929" w:rsidRPr="00A30BB2" w:rsidRDefault="00976929" w:rsidP="002539BD">
            <w:pPr>
              <w:numPr>
                <w:ilvl w:val="1"/>
                <w:numId w:val="0"/>
              </w:numPr>
              <w:spacing w:before="60" w:after="60"/>
              <w:jc w:val="center"/>
              <w:rPr>
                <w:rFonts w:asciiTheme="majorHAnsi" w:hAnsiTheme="majorHAnsi" w:cs="Arial-BoldMT"/>
                <w:bCs/>
                <w:sz w:val="22"/>
                <w:szCs w:val="22"/>
                <w:lang w:val="bs-Latn-BA" w:eastAsia="bs-Latn-BA"/>
              </w:rPr>
            </w:pPr>
            <w:r w:rsidRPr="007D3DD7">
              <w:rPr>
                <w:rFonts w:asciiTheme="majorHAnsi" w:eastAsia="Times New Roman" w:hAnsiTheme="majorHAnsi"/>
                <w:color w:val="000000"/>
                <w:sz w:val="22"/>
                <w:szCs w:val="22"/>
                <w:shd w:val="clear" w:color="auto" w:fill="FFFFFF"/>
                <w:lang w:val="bs-Latn-BA" w:eastAsia="bs-Latn-BA"/>
              </w:rPr>
              <w:t xml:space="preserve"> </w:t>
            </w:r>
            <w:r w:rsidRPr="00A30BB2">
              <w:rPr>
                <w:rFonts w:asciiTheme="majorHAnsi" w:hAnsiTheme="majorHAnsi" w:cs="Arial-BoldMT"/>
                <w:bCs/>
                <w:sz w:val="22"/>
                <w:szCs w:val="22"/>
                <w:lang w:val="bs-Latn-BA" w:eastAsia="bs-Latn-BA"/>
              </w:rPr>
              <w:t>NAZIV INSTITUCIJE</w:t>
            </w:r>
          </w:p>
        </w:tc>
        <w:tc>
          <w:tcPr>
            <w:tcW w:w="2551" w:type="dxa"/>
            <w:shd w:val="clear" w:color="auto" w:fill="auto"/>
          </w:tcPr>
          <w:p w:rsidR="00976929" w:rsidRPr="00A30BB2" w:rsidRDefault="00976929" w:rsidP="002539BD">
            <w:pPr>
              <w:numPr>
                <w:ilvl w:val="1"/>
                <w:numId w:val="0"/>
              </w:numPr>
              <w:spacing w:before="60" w:after="60"/>
              <w:jc w:val="cente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UPITNIK POPUNJEN (DA / NE)</w:t>
            </w:r>
          </w:p>
        </w:tc>
        <w:tc>
          <w:tcPr>
            <w:tcW w:w="2693" w:type="dxa"/>
            <w:shd w:val="clear" w:color="auto" w:fill="auto"/>
          </w:tcPr>
          <w:p w:rsidR="00976929" w:rsidRPr="00A30BB2" w:rsidRDefault="00976929" w:rsidP="002539BD">
            <w:pPr>
              <w:numPr>
                <w:ilvl w:val="1"/>
                <w:numId w:val="0"/>
              </w:numPr>
              <w:spacing w:before="60" w:after="60"/>
              <w:jc w:val="cente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SASTANAK ODRŽAN (DA / NE)</w:t>
            </w:r>
          </w:p>
        </w:tc>
      </w:tr>
      <w:tr w:rsidR="00976929" w:rsidRPr="007D3DD7" w:rsidTr="00A30BB2">
        <w:tc>
          <w:tcPr>
            <w:tcW w:w="9180" w:type="dxa"/>
            <w:gridSpan w:val="3"/>
            <w:shd w:val="clear" w:color="auto" w:fill="auto"/>
          </w:tcPr>
          <w:p w:rsidR="00976929" w:rsidRPr="00A30BB2" w:rsidRDefault="00976929" w:rsidP="002539BD">
            <w:pPr>
              <w:numPr>
                <w:ilvl w:val="1"/>
                <w:numId w:val="0"/>
              </w:numPr>
              <w:spacing w:before="60" w:after="60"/>
              <w:jc w:val="cente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Državni nivo</w:t>
            </w:r>
          </w:p>
        </w:tc>
      </w:tr>
      <w:tr w:rsidR="00B47C92" w:rsidRPr="007D3DD7" w:rsidTr="00A30BB2">
        <w:tc>
          <w:tcPr>
            <w:tcW w:w="3936" w:type="dxa"/>
            <w:shd w:val="clear" w:color="auto" w:fill="auto"/>
          </w:tcPr>
          <w:p w:rsidR="00B47C92"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pravde BiH</w:t>
            </w:r>
          </w:p>
        </w:tc>
        <w:tc>
          <w:tcPr>
            <w:tcW w:w="2551" w:type="dxa"/>
            <w:shd w:val="clear" w:color="auto" w:fill="auto"/>
          </w:tcPr>
          <w:p w:rsidR="00B47C92" w:rsidRPr="00A30BB2" w:rsidRDefault="00B47C92" w:rsidP="00182B4F">
            <w:pPr>
              <w:numPr>
                <w:ilvl w:val="1"/>
                <w:numId w:val="0"/>
              </w:numP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B47C92" w:rsidRPr="00A30BB2" w:rsidRDefault="00B47C92" w:rsidP="00182B4F">
            <w:pPr>
              <w:numPr>
                <w:ilvl w:val="1"/>
                <w:numId w:val="0"/>
              </w:numP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B47C92" w:rsidRPr="007D3DD7" w:rsidTr="00A30BB2">
        <w:tc>
          <w:tcPr>
            <w:tcW w:w="3936" w:type="dxa"/>
            <w:shd w:val="clear" w:color="auto" w:fill="auto"/>
          </w:tcPr>
          <w:p w:rsidR="00B47C92"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državnu službu BiH</w:t>
            </w:r>
          </w:p>
        </w:tc>
        <w:tc>
          <w:tcPr>
            <w:tcW w:w="2551" w:type="dxa"/>
            <w:shd w:val="clear" w:color="auto" w:fill="auto"/>
          </w:tcPr>
          <w:p w:rsidR="00B47C92"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B47C92"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B47C92" w:rsidRPr="007D3DD7" w:rsidTr="00A30BB2">
        <w:tc>
          <w:tcPr>
            <w:tcW w:w="3936" w:type="dxa"/>
            <w:shd w:val="clear" w:color="auto" w:fill="auto"/>
          </w:tcPr>
          <w:p w:rsidR="00B47C92"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 xml:space="preserve">Ured koordinatora za RJU (PARCO) </w:t>
            </w:r>
          </w:p>
        </w:tc>
        <w:tc>
          <w:tcPr>
            <w:tcW w:w="2551" w:type="dxa"/>
            <w:shd w:val="clear" w:color="auto" w:fill="auto"/>
          </w:tcPr>
          <w:p w:rsidR="00B47C92"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B47C92"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vanjskih poslova BiH</w:t>
            </w:r>
          </w:p>
        </w:tc>
        <w:tc>
          <w:tcPr>
            <w:tcW w:w="2551"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Direkcija za evropske integracije BiH</w:t>
            </w:r>
          </w:p>
        </w:tc>
        <w:tc>
          <w:tcPr>
            <w:tcW w:w="2551"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 xml:space="preserve">Ministarstvo odbrane </w:t>
            </w:r>
          </w:p>
        </w:tc>
        <w:tc>
          <w:tcPr>
            <w:tcW w:w="2551" w:type="dxa"/>
            <w:shd w:val="clear" w:color="auto" w:fill="auto"/>
          </w:tcPr>
          <w:p w:rsidR="00976929" w:rsidRPr="00A30BB2" w:rsidRDefault="004E031A"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civilnih poslova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finansija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 xml:space="preserve">Ministarstvo za ljudska prava i izbjeglice </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Regulatorna agencija za komunikacije RAK</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Centralna harmonizacijska jedinica (Ministarstvo finansija i trezora 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Direkcija za koordinaciju policijskih tijela BiH (Ministarstvo sigurnosti 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nadzor nad tržištem 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visoko obrazovanje i osiguranje kvaliteta 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prevenciju korupcije i koordinaciju borbe protiv korupcije</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B47C92"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9180" w:type="dxa"/>
            <w:gridSpan w:val="3"/>
            <w:shd w:val="clear" w:color="auto" w:fill="auto"/>
          </w:tcPr>
          <w:p w:rsidR="00976929" w:rsidRPr="00A30BB2" w:rsidRDefault="00976929" w:rsidP="00A30BB2">
            <w:pPr>
              <w:autoSpaceDE w:val="0"/>
              <w:autoSpaceDN w:val="0"/>
              <w:adjustRightInd w:val="0"/>
              <w:jc w:val="cente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Federacija Bosne i Hercegovine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 xml:space="preserve">Federalno ministarstvo pravde </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 xml:space="preserve">Federalno ministarstvo finansija </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Federalno ministarstvo obrazovanja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državnu službu FBiH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Poreska uprava FBiH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Federalno ministarstvo poljoprivrede, vodoprivrede i šumarstva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Federalno ministarstvo raseljenih osoba i izbjeglica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Federalno ministarstvo zdravstva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Federalno ministarstvo prostornog uređenja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bankarstvo FBiH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privatizaciju u FBIH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Federalna direkcija robnih rezervi</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Federalna uprava za geodetske i imovinsko-pravne poslove</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Komisija za vrijednosne papire FBIH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Zavod za javno zdravstvo FBiH</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9180" w:type="dxa"/>
            <w:gridSpan w:val="3"/>
            <w:shd w:val="clear" w:color="auto" w:fill="auto"/>
          </w:tcPr>
          <w:p w:rsidR="00976929" w:rsidRPr="00A30BB2" w:rsidRDefault="00976929" w:rsidP="00A30BB2">
            <w:pPr>
              <w:autoSpaceDE w:val="0"/>
              <w:autoSpaceDN w:val="0"/>
              <w:adjustRightInd w:val="0"/>
              <w:jc w:val="cente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Republika Srpska</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državnu upravu</w:t>
            </w:r>
            <w:r w:rsidR="007F2241">
              <w:rPr>
                <w:rFonts w:asciiTheme="majorHAnsi" w:hAnsiTheme="majorHAnsi" w:cs="Arial-BoldMT"/>
                <w:bCs/>
                <w:sz w:val="22"/>
                <w:szCs w:val="22"/>
                <w:lang w:val="bs-Latn-BA" w:eastAsia="bs-Latn-BA"/>
              </w:rPr>
              <w:t xml:space="preserve"> RS</w:t>
            </w:r>
            <w:bookmarkStart w:id="0" w:name="_GoBack"/>
            <w:bookmarkEnd w:id="0"/>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lastRenderedPageBreak/>
              <w:t>Ministarstvo uprave i lokalne samouprave</w:t>
            </w:r>
            <w:r w:rsidR="007F2241">
              <w:rPr>
                <w:rFonts w:asciiTheme="majorHAnsi" w:hAnsiTheme="majorHAnsi" w:cs="Arial-BoldMT"/>
                <w:bCs/>
                <w:sz w:val="22"/>
                <w:szCs w:val="22"/>
                <w:lang w:val="bs-Latn-BA" w:eastAsia="bs-Latn-BA"/>
              </w:rPr>
              <w:t xml:space="preserve"> RS</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finansija</w:t>
            </w:r>
            <w:r w:rsidR="007F2241">
              <w:rPr>
                <w:rFonts w:asciiTheme="majorHAnsi" w:hAnsiTheme="majorHAnsi" w:cs="Arial-BoldMT"/>
                <w:bCs/>
                <w:sz w:val="22"/>
                <w:szCs w:val="22"/>
                <w:lang w:val="bs-Latn-BA" w:eastAsia="bs-Latn-BA"/>
              </w:rPr>
              <w:t xml:space="preserve"> RS</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rada i boračko-invalidske zaštite</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Helikopterski servis Republike Srpske</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poljoprivrede, šumarstva i vodoprivrede</w:t>
            </w:r>
            <w:r w:rsidR="007F2241">
              <w:rPr>
                <w:rFonts w:asciiTheme="majorHAnsi" w:hAnsiTheme="majorHAnsi" w:cs="Arial-BoldMT"/>
                <w:bCs/>
                <w:sz w:val="22"/>
                <w:szCs w:val="22"/>
                <w:lang w:val="bs-Latn-BA" w:eastAsia="bs-Latn-BA"/>
              </w:rPr>
              <w:t xml:space="preserve"> RS</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zdravlja i socijalne zaštite</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za izbjeglice i raseljena lica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pravde RS</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Ministarstvo za prostorno uređenje, građevinarstvo i ekologiju</w:t>
            </w:r>
            <w:r w:rsidR="007F2241">
              <w:rPr>
                <w:rFonts w:asciiTheme="majorHAnsi" w:hAnsiTheme="majorHAnsi" w:cs="Arial-BoldMT"/>
                <w:bCs/>
                <w:sz w:val="22"/>
                <w:szCs w:val="22"/>
                <w:lang w:val="bs-Latn-BA" w:eastAsia="bs-Latn-BA"/>
              </w:rPr>
              <w:t xml:space="preserve"> RS</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Agencija za bankarstvo RS</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ED61CB" w:rsidRDefault="00ED61CB" w:rsidP="00ED61CB">
            <w:pPr>
              <w:autoSpaceDE w:val="0"/>
              <w:autoSpaceDN w:val="0"/>
              <w:adjustRightInd w:val="0"/>
              <w:rPr>
                <w:rFonts w:ascii="Calibri" w:eastAsia="Calibri" w:hAnsi="Calibri"/>
                <w:lang w:val="en-US"/>
              </w:rPr>
            </w:pPr>
            <w:r w:rsidRPr="00ED61CB">
              <w:rPr>
                <w:rFonts w:asciiTheme="majorHAnsi" w:hAnsiTheme="majorHAnsi" w:cs="Arial-BoldMT"/>
                <w:bCs/>
                <w:sz w:val="22"/>
                <w:szCs w:val="22"/>
                <w:lang w:val="bs-Latn-BA" w:eastAsia="bs-Latn-BA"/>
              </w:rPr>
              <w:t>Ministarstvo porodice, omladine i sporta RS</w:t>
            </w:r>
            <w:r>
              <w:rPr>
                <w:rFonts w:eastAsia="Calibri"/>
              </w:rPr>
              <w:t xml:space="preserve"> </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Republička uprava za geodetske i imovinsko-pravne poslove</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Republička uprava za inspekcijske poslove</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Rebublika agencija za razvoj maih i srednjih preduzeća</w:t>
            </w:r>
          </w:p>
        </w:tc>
        <w:tc>
          <w:tcPr>
            <w:tcW w:w="2551"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numPr>
                <w:ilvl w:val="1"/>
                <w:numId w:val="0"/>
              </w:num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r w:rsidR="00976929" w:rsidRPr="007D3DD7" w:rsidTr="00A30BB2">
        <w:tc>
          <w:tcPr>
            <w:tcW w:w="9180" w:type="dxa"/>
            <w:gridSpan w:val="3"/>
            <w:shd w:val="clear" w:color="auto" w:fill="auto"/>
          </w:tcPr>
          <w:p w:rsidR="00976929" w:rsidRPr="00A30BB2" w:rsidRDefault="00976929" w:rsidP="00A30BB2">
            <w:pPr>
              <w:autoSpaceDE w:val="0"/>
              <w:autoSpaceDN w:val="0"/>
              <w:adjustRightInd w:val="0"/>
              <w:jc w:val="center"/>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Brčko Distrikt</w:t>
            </w:r>
          </w:p>
        </w:tc>
      </w:tr>
      <w:tr w:rsidR="00976929" w:rsidRPr="007D3DD7" w:rsidTr="00A30BB2">
        <w:tc>
          <w:tcPr>
            <w:tcW w:w="3936"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Pododjeljenje za ljudske resurse</w:t>
            </w:r>
          </w:p>
        </w:tc>
        <w:tc>
          <w:tcPr>
            <w:tcW w:w="2551"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DA</w:t>
            </w:r>
          </w:p>
        </w:tc>
        <w:tc>
          <w:tcPr>
            <w:tcW w:w="2693" w:type="dxa"/>
            <w:shd w:val="clear" w:color="auto" w:fill="auto"/>
          </w:tcPr>
          <w:p w:rsidR="00976929" w:rsidRPr="00A30BB2" w:rsidRDefault="00976929" w:rsidP="00A30BB2">
            <w:pPr>
              <w:autoSpaceDE w:val="0"/>
              <w:autoSpaceDN w:val="0"/>
              <w:adjustRightInd w:val="0"/>
              <w:rPr>
                <w:rFonts w:asciiTheme="majorHAnsi" w:hAnsiTheme="majorHAnsi" w:cs="Arial-BoldMT"/>
                <w:bCs/>
                <w:sz w:val="22"/>
                <w:szCs w:val="22"/>
                <w:lang w:val="bs-Latn-BA" w:eastAsia="bs-Latn-BA"/>
              </w:rPr>
            </w:pPr>
            <w:r w:rsidRPr="00A30BB2">
              <w:rPr>
                <w:rFonts w:asciiTheme="majorHAnsi" w:hAnsiTheme="majorHAnsi" w:cs="Arial-BoldMT"/>
                <w:bCs/>
                <w:sz w:val="22"/>
                <w:szCs w:val="22"/>
                <w:lang w:val="bs-Latn-BA" w:eastAsia="bs-Latn-BA"/>
              </w:rPr>
              <w:t>NE</w:t>
            </w:r>
          </w:p>
        </w:tc>
      </w:tr>
    </w:tbl>
    <w:p w:rsidR="00976929" w:rsidRPr="007D3DD7" w:rsidRDefault="00976929" w:rsidP="00976929">
      <w:pPr>
        <w:shd w:val="clear" w:color="auto" w:fill="FFFFFF"/>
        <w:spacing w:before="60" w:after="60"/>
        <w:rPr>
          <w:rFonts w:asciiTheme="majorHAnsi" w:hAnsiTheme="majorHAnsi"/>
          <w:sz w:val="22"/>
          <w:szCs w:val="22"/>
          <w:lang w:val="bs-Latn-BA"/>
        </w:rPr>
      </w:pPr>
    </w:p>
    <w:p w:rsidR="00577EA5" w:rsidRPr="007D3DD7" w:rsidRDefault="00577EA5">
      <w:pPr>
        <w:rPr>
          <w:rFonts w:asciiTheme="majorHAnsi" w:hAnsiTheme="majorHAnsi"/>
          <w:sz w:val="22"/>
          <w:szCs w:val="22"/>
        </w:rPr>
      </w:pPr>
    </w:p>
    <w:sectPr w:rsidR="00577EA5" w:rsidRPr="007D3DD7" w:rsidSect="00991619">
      <w:footerReference w:type="even"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E8" w:rsidRDefault="00BA47E8" w:rsidP="00976929">
      <w:r>
        <w:separator/>
      </w:r>
    </w:p>
  </w:endnote>
  <w:endnote w:type="continuationSeparator" w:id="0">
    <w:p w:rsidR="00BA47E8" w:rsidRDefault="00BA47E8" w:rsidP="0097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ravur Condensed">
    <w:altName w:val="Arial"/>
    <w:charset w:val="00"/>
    <w:family w:val="swiss"/>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8070000" w:usb2="00000010" w:usb3="00000000" w:csb0="00020003" w:csb1="00000000"/>
  </w:font>
  <w:font w:name="Arial-BoldMT">
    <w:altName w:val="Arial"/>
    <w:panose1 w:val="00000000000000000000"/>
    <w:charset w:val="0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4F" w:rsidRDefault="00182B4F" w:rsidP="00253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B4F" w:rsidRDefault="00182B4F" w:rsidP="002539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4F" w:rsidRPr="007933C4" w:rsidRDefault="00182B4F" w:rsidP="002539BD">
    <w:pPr>
      <w:pStyle w:val="Footer"/>
      <w:framePr w:wrap="around" w:vAnchor="text" w:hAnchor="margin" w:xAlign="right" w:y="1"/>
      <w:rPr>
        <w:rStyle w:val="PageNumber"/>
        <w:rFonts w:ascii="Calibri" w:hAnsi="Calibri"/>
        <w:sz w:val="20"/>
        <w:szCs w:val="20"/>
      </w:rPr>
    </w:pPr>
    <w:r w:rsidRPr="007933C4">
      <w:rPr>
        <w:rStyle w:val="PageNumber"/>
        <w:rFonts w:ascii="Calibri" w:hAnsi="Calibri"/>
        <w:sz w:val="20"/>
        <w:szCs w:val="20"/>
      </w:rPr>
      <w:fldChar w:fldCharType="begin"/>
    </w:r>
    <w:r w:rsidRPr="007933C4">
      <w:rPr>
        <w:rStyle w:val="PageNumber"/>
        <w:rFonts w:ascii="Calibri" w:hAnsi="Calibri"/>
        <w:sz w:val="20"/>
        <w:szCs w:val="20"/>
      </w:rPr>
      <w:instrText xml:space="preserve">PAGE  </w:instrText>
    </w:r>
    <w:r w:rsidRPr="007933C4">
      <w:rPr>
        <w:rStyle w:val="PageNumber"/>
        <w:rFonts w:ascii="Calibri" w:hAnsi="Calibri"/>
        <w:sz w:val="20"/>
        <w:szCs w:val="20"/>
      </w:rPr>
      <w:fldChar w:fldCharType="separate"/>
    </w:r>
    <w:r w:rsidR="007F2241">
      <w:rPr>
        <w:rStyle w:val="PageNumber"/>
        <w:rFonts w:ascii="Calibri" w:hAnsi="Calibri"/>
        <w:noProof/>
        <w:sz w:val="20"/>
        <w:szCs w:val="20"/>
      </w:rPr>
      <w:t>16</w:t>
    </w:r>
    <w:r w:rsidRPr="007933C4">
      <w:rPr>
        <w:rStyle w:val="PageNumber"/>
        <w:rFonts w:ascii="Calibri" w:hAnsi="Calibri"/>
        <w:sz w:val="20"/>
        <w:szCs w:val="20"/>
      </w:rPr>
      <w:fldChar w:fldCharType="end"/>
    </w:r>
  </w:p>
  <w:p w:rsidR="00182B4F" w:rsidRDefault="00182B4F" w:rsidP="002539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E8" w:rsidRDefault="00BA47E8" w:rsidP="00976929">
      <w:r>
        <w:separator/>
      </w:r>
    </w:p>
  </w:footnote>
  <w:footnote w:type="continuationSeparator" w:id="0">
    <w:p w:rsidR="00BA47E8" w:rsidRDefault="00BA47E8" w:rsidP="00976929">
      <w:r>
        <w:continuationSeparator/>
      </w:r>
    </w:p>
  </w:footnote>
  <w:footnote w:id="1">
    <w:p w:rsidR="00182B4F" w:rsidRDefault="00182B4F">
      <w:pPr>
        <w:pStyle w:val="FootnoteText"/>
        <w:rPr>
          <w:lang w:val="hr-HR"/>
        </w:rPr>
      </w:pPr>
      <w:r>
        <w:rPr>
          <w:rStyle w:val="FootnoteReference"/>
        </w:rPr>
        <w:footnoteRef/>
      </w:r>
      <w:r>
        <w:t xml:space="preserve"> </w:t>
      </w:r>
      <w:r w:rsidRPr="0041049B">
        <w:rPr>
          <w:rFonts w:asciiTheme="majorHAnsi" w:hAnsiTheme="majorHAnsi"/>
          <w:sz w:val="16"/>
          <w:szCs w:val="16"/>
          <w:lang w:val="hr-HR"/>
        </w:rPr>
        <w:t xml:space="preserve">Izvještaj EK o napretku BiH za 2015. godinu, str. 9-10, </w:t>
      </w:r>
      <w:hyperlink r:id="rId1" w:history="1">
        <w:r w:rsidRPr="0041049B">
          <w:rPr>
            <w:rStyle w:val="Hyperlink"/>
            <w:rFonts w:asciiTheme="majorHAnsi" w:hAnsiTheme="majorHAnsi"/>
            <w:sz w:val="16"/>
            <w:szCs w:val="16"/>
            <w:lang w:val="hr-HR"/>
          </w:rPr>
          <w:t>http://ec.europa.eu/enlargement/pdf/key_documents/2015/20151110_report_bosnia_and_herzegovina.pdf</w:t>
        </w:r>
      </w:hyperlink>
    </w:p>
    <w:p w:rsidR="00182B4F" w:rsidRPr="002E4893" w:rsidRDefault="00182B4F">
      <w:pPr>
        <w:pStyle w:val="FootnoteText"/>
        <w:rPr>
          <w:lang w:val="hr-HR"/>
        </w:rPr>
      </w:pPr>
    </w:p>
  </w:footnote>
  <w:footnote w:id="2">
    <w:p w:rsidR="00182B4F" w:rsidRPr="007D3DD7" w:rsidRDefault="00182B4F">
      <w:pPr>
        <w:pStyle w:val="FootnoteText"/>
        <w:rPr>
          <w:rFonts w:asciiTheme="majorHAnsi" w:hAnsiTheme="majorHAnsi"/>
          <w:sz w:val="16"/>
          <w:szCs w:val="16"/>
          <w:lang w:val="hr-HR"/>
        </w:rPr>
      </w:pPr>
      <w:r w:rsidRPr="007D3DD7">
        <w:rPr>
          <w:rStyle w:val="FootnoteReference"/>
          <w:rFonts w:asciiTheme="majorHAnsi" w:hAnsiTheme="majorHAnsi"/>
          <w:sz w:val="16"/>
          <w:szCs w:val="16"/>
        </w:rPr>
        <w:footnoteRef/>
      </w:r>
      <w:r w:rsidRPr="007D3DD7">
        <w:rPr>
          <w:rFonts w:asciiTheme="majorHAnsi" w:hAnsiTheme="majorHAnsi"/>
          <w:sz w:val="16"/>
          <w:szCs w:val="16"/>
          <w:lang w:val="hr-HR"/>
        </w:rPr>
        <w:t xml:space="preserve"> </w:t>
      </w:r>
      <w:r w:rsidR="00E87985" w:rsidRPr="007D3DD7">
        <w:rPr>
          <w:rFonts w:asciiTheme="majorHAnsi" w:hAnsiTheme="majorHAnsi"/>
          <w:sz w:val="16"/>
          <w:szCs w:val="16"/>
          <w:lang w:val="hr-HR"/>
        </w:rPr>
        <w:t>«Službene novine Federacije BiH», broj 102/15 /31.12.2015./</w:t>
      </w:r>
    </w:p>
  </w:footnote>
  <w:footnote w:id="3">
    <w:p w:rsidR="00182B4F" w:rsidRPr="007D3DD7" w:rsidRDefault="00182B4F">
      <w:pPr>
        <w:pStyle w:val="FootnoteText"/>
        <w:rPr>
          <w:rFonts w:asciiTheme="majorHAnsi" w:hAnsiTheme="majorHAnsi"/>
          <w:sz w:val="16"/>
          <w:szCs w:val="16"/>
          <w:lang w:val="hr-HR"/>
        </w:rPr>
      </w:pPr>
      <w:r>
        <w:rPr>
          <w:rStyle w:val="FootnoteReference"/>
        </w:rPr>
        <w:footnoteRef/>
      </w:r>
      <w:r w:rsidRPr="007A725A">
        <w:rPr>
          <w:lang w:val="hr-HR"/>
        </w:rPr>
        <w:t xml:space="preserve"> </w:t>
      </w:r>
      <w:r w:rsidRPr="007D3DD7">
        <w:rPr>
          <w:rFonts w:asciiTheme="majorHAnsi" w:hAnsiTheme="majorHAnsi"/>
          <w:sz w:val="16"/>
          <w:szCs w:val="16"/>
          <w:lang w:val="hr-HR"/>
        </w:rPr>
        <w:t xml:space="preserve">Više o pismu koje je zvaničnicima FBiH uputio </w:t>
      </w:r>
      <w:r w:rsidRPr="007D3DD7">
        <w:rPr>
          <w:rFonts w:asciiTheme="majorHAnsi" w:eastAsiaTheme="minorEastAsia" w:hAnsiTheme="majorHAnsi" w:cs="Arial"/>
          <w:sz w:val="16"/>
          <w:szCs w:val="16"/>
          <w:lang w:val="hr-HR"/>
        </w:rPr>
        <w:t xml:space="preserve">Jean Eric Paquet, direktor za Zapadni Balkan Direktorata za politiku susjedstva i pregovore o proširenju, moguće je naći </w:t>
      </w:r>
      <w:r w:rsidRPr="007D3DD7">
        <w:rPr>
          <w:rFonts w:asciiTheme="majorHAnsi" w:hAnsiTheme="majorHAnsi"/>
          <w:sz w:val="16"/>
          <w:szCs w:val="16"/>
          <w:lang w:val="hr-HR"/>
        </w:rPr>
        <w:t xml:space="preserve">na: </w:t>
      </w:r>
      <w:hyperlink r:id="rId2" w:history="1">
        <w:r w:rsidRPr="007D3DD7">
          <w:rPr>
            <w:rStyle w:val="Hyperlink"/>
            <w:rFonts w:asciiTheme="majorHAnsi" w:hAnsiTheme="majorHAnsi"/>
            <w:sz w:val="16"/>
            <w:szCs w:val="16"/>
            <w:lang w:val="hr-HR"/>
          </w:rPr>
          <w:t>http://www.federalna.ba/bhs/vijest/144897/paquet-pisao-novalicu-i-predsjedavajucim-oba-doma-pfbih</w:t>
        </w:r>
      </w:hyperlink>
    </w:p>
    <w:p w:rsidR="00182B4F" w:rsidRPr="00B75BE8" w:rsidRDefault="00182B4F">
      <w:pPr>
        <w:pStyle w:val="FootnoteText"/>
        <w:rPr>
          <w:lang w:val="hr-HR"/>
        </w:rPr>
      </w:pPr>
    </w:p>
  </w:footnote>
  <w:footnote w:id="4">
    <w:p w:rsidR="00182B4F" w:rsidRPr="007D3DD7" w:rsidRDefault="00182B4F" w:rsidP="007D3DD7">
      <w:pPr>
        <w:pStyle w:val="Subtitle"/>
        <w:ind w:right="-6"/>
        <w:jc w:val="both"/>
        <w:rPr>
          <w:rFonts w:asciiTheme="majorHAnsi" w:hAnsiTheme="majorHAnsi"/>
          <w:color w:val="FF0000"/>
          <w:sz w:val="16"/>
          <w:szCs w:val="16"/>
          <w:lang w:val="hr-HR"/>
        </w:rPr>
      </w:pPr>
      <w:r w:rsidRPr="007D3DD7">
        <w:rPr>
          <w:rFonts w:asciiTheme="majorHAnsi" w:eastAsia="MS Mincho" w:hAnsiTheme="majorHAnsi"/>
          <w:i w:val="0"/>
          <w:iCs w:val="0"/>
          <w:color w:val="auto"/>
          <w:spacing w:val="0"/>
          <w:sz w:val="16"/>
          <w:szCs w:val="16"/>
          <w:vertAlign w:val="superscript"/>
          <w:lang w:val="hr-HR" w:eastAsia="x-none"/>
        </w:rPr>
        <w:footnoteRef/>
      </w:r>
      <w:r w:rsidRPr="007D3DD7">
        <w:rPr>
          <w:rFonts w:asciiTheme="majorHAnsi" w:eastAsia="MS Mincho" w:hAnsiTheme="majorHAnsi"/>
          <w:i w:val="0"/>
          <w:iCs w:val="0"/>
          <w:color w:val="auto"/>
          <w:spacing w:val="0"/>
          <w:sz w:val="16"/>
          <w:szCs w:val="16"/>
          <w:vertAlign w:val="superscript"/>
          <w:lang w:val="hr-HR" w:eastAsia="x-none"/>
        </w:rPr>
        <w:t xml:space="preserve"> </w:t>
      </w:r>
      <w:r w:rsidR="007D3DD7" w:rsidRPr="007D3DD7">
        <w:rPr>
          <w:rFonts w:asciiTheme="majorHAnsi" w:eastAsia="MS Mincho" w:hAnsiTheme="majorHAnsi"/>
          <w:i w:val="0"/>
          <w:iCs w:val="0"/>
          <w:color w:val="auto"/>
          <w:spacing w:val="0"/>
          <w:sz w:val="16"/>
          <w:szCs w:val="16"/>
          <w:lang w:val="hr-HR" w:eastAsia="x-none"/>
        </w:rPr>
        <w:t xml:space="preserve">Transparency International u BiH, </w:t>
      </w:r>
      <w:r w:rsidR="007D3DD7" w:rsidRPr="007D3DD7">
        <w:rPr>
          <w:rFonts w:asciiTheme="majorHAnsi" w:eastAsia="MS Mincho" w:hAnsiTheme="majorHAnsi"/>
          <w:iCs w:val="0"/>
          <w:color w:val="auto"/>
          <w:spacing w:val="0"/>
          <w:sz w:val="16"/>
          <w:szCs w:val="16"/>
          <w:lang w:val="hr-HR" w:eastAsia="x-none"/>
        </w:rPr>
        <w:t>Praćenje reforme javne uprave u Bosni i Hercegovini: Analiza rezultata u oblasti upravljanja ljudskim potencijalima (HRM) u periodu 2013-2014. godina</w:t>
      </w:r>
      <w:r w:rsidR="007D3DD7" w:rsidRPr="007D3DD7">
        <w:rPr>
          <w:rFonts w:asciiTheme="majorHAnsi" w:eastAsia="MS Mincho" w:hAnsiTheme="majorHAnsi"/>
          <w:i w:val="0"/>
          <w:iCs w:val="0"/>
          <w:color w:val="auto"/>
          <w:spacing w:val="0"/>
          <w:sz w:val="16"/>
          <w:szCs w:val="16"/>
          <w:lang w:val="hr-HR" w:eastAsia="x-none"/>
        </w:rPr>
        <w:t>, Sarajevo, Mart 2015.</w:t>
      </w:r>
      <w:r w:rsidRPr="007D3DD7">
        <w:rPr>
          <w:rFonts w:asciiTheme="majorHAnsi" w:eastAsia="MS Mincho" w:hAnsiTheme="majorHAnsi"/>
          <w:i w:val="0"/>
          <w:iCs w:val="0"/>
          <w:color w:val="auto"/>
          <w:spacing w:val="0"/>
          <w:sz w:val="16"/>
          <w:szCs w:val="16"/>
          <w:lang w:val="hr-HR" w:eastAsia="x-none"/>
        </w:rPr>
        <w:t>, str. 15.</w:t>
      </w:r>
      <w:r w:rsidRPr="007D3DD7">
        <w:rPr>
          <w:rFonts w:asciiTheme="majorHAnsi" w:hAnsiTheme="majorHAnsi"/>
          <w:sz w:val="16"/>
          <w:szCs w:val="16"/>
          <w:lang w:val="hr-H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F7F3A"/>
    <w:multiLevelType w:val="hybridMultilevel"/>
    <w:tmpl w:val="9E96500E"/>
    <w:lvl w:ilvl="0" w:tplc="AE1299F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992"/>
    <w:multiLevelType w:val="hybridMultilevel"/>
    <w:tmpl w:val="78EA4B5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nsid w:val="54440590"/>
    <w:multiLevelType w:val="hybridMultilevel"/>
    <w:tmpl w:val="06064CD4"/>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
    <w:nsid w:val="5E0D66A5"/>
    <w:multiLevelType w:val="hybridMultilevel"/>
    <w:tmpl w:val="61F0C70E"/>
    <w:lvl w:ilvl="0" w:tplc="85408F5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5B92BA8"/>
    <w:multiLevelType w:val="multilevel"/>
    <w:tmpl w:val="65B92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29"/>
    <w:rsid w:val="0001240E"/>
    <w:rsid w:val="00057D4A"/>
    <w:rsid w:val="0006487E"/>
    <w:rsid w:val="0009135F"/>
    <w:rsid w:val="000B31F5"/>
    <w:rsid w:val="000C7B7F"/>
    <w:rsid w:val="00106137"/>
    <w:rsid w:val="00121746"/>
    <w:rsid w:val="00137E51"/>
    <w:rsid w:val="00141F17"/>
    <w:rsid w:val="00182B4F"/>
    <w:rsid w:val="00184738"/>
    <w:rsid w:val="001C34FF"/>
    <w:rsid w:val="001D5B8B"/>
    <w:rsid w:val="002045B1"/>
    <w:rsid w:val="00222614"/>
    <w:rsid w:val="00230AF2"/>
    <w:rsid w:val="002333B2"/>
    <w:rsid w:val="002539BD"/>
    <w:rsid w:val="00262C49"/>
    <w:rsid w:val="002B4A41"/>
    <w:rsid w:val="002C525C"/>
    <w:rsid w:val="002E4893"/>
    <w:rsid w:val="002F491E"/>
    <w:rsid w:val="003E69F6"/>
    <w:rsid w:val="004007D0"/>
    <w:rsid w:val="0041049B"/>
    <w:rsid w:val="00430A47"/>
    <w:rsid w:val="00487AB6"/>
    <w:rsid w:val="004A3892"/>
    <w:rsid w:val="004D61E1"/>
    <w:rsid w:val="004E031A"/>
    <w:rsid w:val="004E3A71"/>
    <w:rsid w:val="004F1E90"/>
    <w:rsid w:val="00531188"/>
    <w:rsid w:val="00534282"/>
    <w:rsid w:val="00542A39"/>
    <w:rsid w:val="005716ED"/>
    <w:rsid w:val="00577EA5"/>
    <w:rsid w:val="00584214"/>
    <w:rsid w:val="00596319"/>
    <w:rsid w:val="005C5CDA"/>
    <w:rsid w:val="005E5C1D"/>
    <w:rsid w:val="005F1528"/>
    <w:rsid w:val="00611312"/>
    <w:rsid w:val="006743DB"/>
    <w:rsid w:val="006B66C2"/>
    <w:rsid w:val="00735A09"/>
    <w:rsid w:val="00741076"/>
    <w:rsid w:val="00774CFF"/>
    <w:rsid w:val="00780F03"/>
    <w:rsid w:val="00786126"/>
    <w:rsid w:val="007A725A"/>
    <w:rsid w:val="007D0E6C"/>
    <w:rsid w:val="007D1AEC"/>
    <w:rsid w:val="007D3DD7"/>
    <w:rsid w:val="007F2241"/>
    <w:rsid w:val="008019ED"/>
    <w:rsid w:val="00806224"/>
    <w:rsid w:val="00832564"/>
    <w:rsid w:val="008833D3"/>
    <w:rsid w:val="008A0596"/>
    <w:rsid w:val="008A1AB6"/>
    <w:rsid w:val="008D7B37"/>
    <w:rsid w:val="0095125C"/>
    <w:rsid w:val="00954253"/>
    <w:rsid w:val="00967C6E"/>
    <w:rsid w:val="00976929"/>
    <w:rsid w:val="00991619"/>
    <w:rsid w:val="009B5C6B"/>
    <w:rsid w:val="009C182E"/>
    <w:rsid w:val="009D693D"/>
    <w:rsid w:val="00A00337"/>
    <w:rsid w:val="00A30BB2"/>
    <w:rsid w:val="00A35C0E"/>
    <w:rsid w:val="00A413F4"/>
    <w:rsid w:val="00A4187B"/>
    <w:rsid w:val="00A420FC"/>
    <w:rsid w:val="00A7570D"/>
    <w:rsid w:val="00A82715"/>
    <w:rsid w:val="00A96ECF"/>
    <w:rsid w:val="00B03670"/>
    <w:rsid w:val="00B05C07"/>
    <w:rsid w:val="00B31AB3"/>
    <w:rsid w:val="00B47C92"/>
    <w:rsid w:val="00B75BE8"/>
    <w:rsid w:val="00B86217"/>
    <w:rsid w:val="00B863F0"/>
    <w:rsid w:val="00BA01B6"/>
    <w:rsid w:val="00BA47E8"/>
    <w:rsid w:val="00BB062E"/>
    <w:rsid w:val="00BE3BC3"/>
    <w:rsid w:val="00C004B5"/>
    <w:rsid w:val="00C043D0"/>
    <w:rsid w:val="00C32556"/>
    <w:rsid w:val="00C956F2"/>
    <w:rsid w:val="00D23EA7"/>
    <w:rsid w:val="00D271C9"/>
    <w:rsid w:val="00D343C9"/>
    <w:rsid w:val="00D40BF2"/>
    <w:rsid w:val="00D53624"/>
    <w:rsid w:val="00DF6267"/>
    <w:rsid w:val="00E036E5"/>
    <w:rsid w:val="00E35771"/>
    <w:rsid w:val="00E36609"/>
    <w:rsid w:val="00E80C17"/>
    <w:rsid w:val="00E87985"/>
    <w:rsid w:val="00EB3E2F"/>
    <w:rsid w:val="00ED61CB"/>
    <w:rsid w:val="00EE3F48"/>
    <w:rsid w:val="00F32B51"/>
    <w:rsid w:val="00F538F5"/>
    <w:rsid w:val="00F81C6B"/>
    <w:rsid w:val="00FC158A"/>
    <w:rsid w:val="00FC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9734982-9C9C-4D73-B65F-8206132A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9"/>
    <w:rPr>
      <w:rFonts w:ascii="Cambria" w:eastAsia="MS Mincho" w:hAnsi="Cambria" w:cs="Times New Roman"/>
      <w:lang w:val="en-GB"/>
    </w:rPr>
  </w:style>
  <w:style w:type="paragraph" w:styleId="Heading1">
    <w:name w:val="heading 1"/>
    <w:basedOn w:val="Normal"/>
    <w:next w:val="Normal"/>
    <w:link w:val="Heading1Char"/>
    <w:uiPriority w:val="9"/>
    <w:qFormat/>
    <w:rsid w:val="00976929"/>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uiPriority w:val="9"/>
    <w:qFormat/>
    <w:rsid w:val="00976929"/>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929"/>
    <w:rPr>
      <w:rFonts w:ascii="Calibri" w:eastAsia="MS Gothic" w:hAnsi="Calibri" w:cs="Times New Roman"/>
      <w:b/>
      <w:bCs/>
      <w:color w:val="345A8A"/>
      <w:sz w:val="32"/>
      <w:szCs w:val="32"/>
      <w:lang w:val="en-GB"/>
    </w:rPr>
  </w:style>
  <w:style w:type="character" w:customStyle="1" w:styleId="Heading3Char">
    <w:name w:val="Heading 3 Char"/>
    <w:basedOn w:val="DefaultParagraphFont"/>
    <w:link w:val="Heading3"/>
    <w:uiPriority w:val="9"/>
    <w:rsid w:val="00976929"/>
    <w:rPr>
      <w:rFonts w:ascii="Calibri" w:eastAsia="MS Gothic" w:hAnsi="Calibri" w:cs="Times New Roman"/>
      <w:b/>
      <w:bCs/>
      <w:sz w:val="26"/>
      <w:szCs w:val="26"/>
      <w:lang w:val="en-GB"/>
    </w:rPr>
  </w:style>
  <w:style w:type="paragraph" w:styleId="Title">
    <w:name w:val="Title"/>
    <w:basedOn w:val="Normal"/>
    <w:next w:val="Normal"/>
    <w:link w:val="TitleChar"/>
    <w:uiPriority w:val="10"/>
    <w:qFormat/>
    <w:rsid w:val="00976929"/>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976929"/>
    <w:rPr>
      <w:rFonts w:ascii="Calibri" w:eastAsia="MS Gothic" w:hAnsi="Calibri" w:cs="Times New Roman"/>
      <w:color w:val="17365D"/>
      <w:spacing w:val="5"/>
      <w:kern w:val="28"/>
      <w:sz w:val="52"/>
      <w:szCs w:val="52"/>
      <w:lang w:val="en-GB"/>
    </w:rPr>
  </w:style>
  <w:style w:type="paragraph" w:styleId="Subtitle">
    <w:name w:val="Subtitle"/>
    <w:basedOn w:val="Normal"/>
    <w:next w:val="Normal"/>
    <w:link w:val="SubtitleChar"/>
    <w:uiPriority w:val="11"/>
    <w:qFormat/>
    <w:rsid w:val="00976929"/>
    <w:pPr>
      <w:numPr>
        <w:ilvl w:val="1"/>
      </w:numPr>
    </w:pPr>
    <w:rPr>
      <w:rFonts w:ascii="Calibri" w:eastAsia="MS Gothic" w:hAnsi="Calibri"/>
      <w:i/>
      <w:iCs/>
      <w:color w:val="4F81BD"/>
      <w:spacing w:val="15"/>
    </w:rPr>
  </w:style>
  <w:style w:type="character" w:customStyle="1" w:styleId="SubtitleChar">
    <w:name w:val="Subtitle Char"/>
    <w:basedOn w:val="DefaultParagraphFont"/>
    <w:link w:val="Subtitle"/>
    <w:uiPriority w:val="11"/>
    <w:rsid w:val="00976929"/>
    <w:rPr>
      <w:rFonts w:ascii="Calibri" w:eastAsia="MS Gothic" w:hAnsi="Calibri" w:cs="Times New Roman"/>
      <w:i/>
      <w:iCs/>
      <w:color w:val="4F81BD"/>
      <w:spacing w:val="15"/>
      <w:lang w:val="en-GB"/>
    </w:rPr>
  </w:style>
  <w:style w:type="paragraph" w:styleId="Footer">
    <w:name w:val="footer"/>
    <w:basedOn w:val="Normal"/>
    <w:link w:val="FooterChar"/>
    <w:uiPriority w:val="99"/>
    <w:unhideWhenUsed/>
    <w:rsid w:val="00976929"/>
    <w:pPr>
      <w:tabs>
        <w:tab w:val="center" w:pos="4320"/>
        <w:tab w:val="right" w:pos="8640"/>
      </w:tabs>
    </w:pPr>
  </w:style>
  <w:style w:type="character" w:customStyle="1" w:styleId="FooterChar">
    <w:name w:val="Footer Char"/>
    <w:basedOn w:val="DefaultParagraphFont"/>
    <w:link w:val="Footer"/>
    <w:uiPriority w:val="99"/>
    <w:rsid w:val="00976929"/>
    <w:rPr>
      <w:rFonts w:ascii="Cambria" w:eastAsia="MS Mincho" w:hAnsi="Cambria" w:cs="Times New Roman"/>
      <w:lang w:val="en-GB"/>
    </w:rPr>
  </w:style>
  <w:style w:type="character" w:styleId="PageNumber">
    <w:name w:val="page number"/>
    <w:uiPriority w:val="99"/>
    <w:semiHidden/>
    <w:unhideWhenUsed/>
    <w:rsid w:val="00976929"/>
  </w:style>
  <w:style w:type="paragraph" w:styleId="FootnoteText">
    <w:name w:val="footnote text"/>
    <w:basedOn w:val="Normal"/>
    <w:link w:val="FootnoteTextChar"/>
    <w:uiPriority w:val="99"/>
    <w:unhideWhenUsed/>
    <w:rsid w:val="00976929"/>
    <w:rPr>
      <w:sz w:val="20"/>
      <w:szCs w:val="20"/>
      <w:lang w:eastAsia="x-none"/>
    </w:rPr>
  </w:style>
  <w:style w:type="character" w:customStyle="1" w:styleId="FootnoteTextChar">
    <w:name w:val="Footnote Text Char"/>
    <w:basedOn w:val="DefaultParagraphFont"/>
    <w:link w:val="FootnoteText"/>
    <w:uiPriority w:val="99"/>
    <w:rsid w:val="00976929"/>
    <w:rPr>
      <w:rFonts w:ascii="Cambria" w:eastAsia="MS Mincho" w:hAnsi="Cambria" w:cs="Times New Roman"/>
      <w:sz w:val="20"/>
      <w:szCs w:val="20"/>
      <w:lang w:val="en-GB" w:eastAsia="x-none"/>
    </w:rPr>
  </w:style>
  <w:style w:type="character" w:styleId="FootnoteReference">
    <w:name w:val="footnote reference"/>
    <w:uiPriority w:val="99"/>
    <w:unhideWhenUsed/>
    <w:rsid w:val="00976929"/>
    <w:rPr>
      <w:vertAlign w:val="superscript"/>
    </w:rPr>
  </w:style>
  <w:style w:type="character" w:styleId="Hyperlink">
    <w:name w:val="Hyperlink"/>
    <w:uiPriority w:val="99"/>
    <w:unhideWhenUsed/>
    <w:rsid w:val="00976929"/>
    <w:rPr>
      <w:color w:val="0000FF"/>
      <w:u w:val="single"/>
    </w:rPr>
  </w:style>
  <w:style w:type="character" w:styleId="CommentReference">
    <w:name w:val="annotation reference"/>
    <w:uiPriority w:val="99"/>
    <w:semiHidden/>
    <w:unhideWhenUsed/>
    <w:rsid w:val="00976929"/>
    <w:rPr>
      <w:sz w:val="16"/>
      <w:szCs w:val="16"/>
    </w:rPr>
  </w:style>
  <w:style w:type="paragraph" w:styleId="CommentText">
    <w:name w:val="annotation text"/>
    <w:basedOn w:val="Normal"/>
    <w:link w:val="CommentTextChar"/>
    <w:uiPriority w:val="99"/>
    <w:semiHidden/>
    <w:unhideWhenUsed/>
    <w:rsid w:val="00976929"/>
    <w:rPr>
      <w:sz w:val="20"/>
      <w:szCs w:val="20"/>
    </w:rPr>
  </w:style>
  <w:style w:type="character" w:customStyle="1" w:styleId="CommentTextChar">
    <w:name w:val="Comment Text Char"/>
    <w:basedOn w:val="DefaultParagraphFont"/>
    <w:link w:val="CommentText"/>
    <w:uiPriority w:val="99"/>
    <w:semiHidden/>
    <w:rsid w:val="00976929"/>
    <w:rPr>
      <w:rFonts w:ascii="Cambria" w:eastAsia="MS Mincho" w:hAnsi="Cambria" w:cs="Times New Roman"/>
      <w:sz w:val="20"/>
      <w:szCs w:val="20"/>
      <w:lang w:val="en-GB"/>
    </w:rPr>
  </w:style>
  <w:style w:type="paragraph" w:styleId="ListParagraph">
    <w:name w:val="List Paragraph"/>
    <w:basedOn w:val="Normal"/>
    <w:uiPriority w:val="34"/>
    <w:qFormat/>
    <w:rsid w:val="00976929"/>
    <w:pPr>
      <w:spacing w:after="160" w:line="259" w:lineRule="auto"/>
      <w:ind w:left="720"/>
      <w:contextualSpacing/>
    </w:pPr>
    <w:rPr>
      <w:rFonts w:ascii="Calibri" w:eastAsia="Calibri" w:hAnsi="Calibri"/>
      <w:sz w:val="22"/>
      <w:szCs w:val="22"/>
      <w:lang w:val="bs-Latn-BA"/>
    </w:rPr>
  </w:style>
  <w:style w:type="paragraph" w:styleId="BalloonText">
    <w:name w:val="Balloon Text"/>
    <w:basedOn w:val="Normal"/>
    <w:link w:val="BalloonTextChar"/>
    <w:uiPriority w:val="99"/>
    <w:semiHidden/>
    <w:unhideWhenUsed/>
    <w:rsid w:val="00976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929"/>
    <w:rPr>
      <w:rFonts w:ascii="Lucida Grande" w:eastAsia="MS Mincho"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7D1AEC"/>
    <w:rPr>
      <w:b/>
      <w:bCs/>
    </w:rPr>
  </w:style>
  <w:style w:type="character" w:customStyle="1" w:styleId="CommentSubjectChar">
    <w:name w:val="Comment Subject Char"/>
    <w:basedOn w:val="CommentTextChar"/>
    <w:link w:val="CommentSubject"/>
    <w:uiPriority w:val="99"/>
    <w:semiHidden/>
    <w:rsid w:val="007D1AEC"/>
    <w:rPr>
      <w:rFonts w:ascii="Cambria" w:eastAsia="MS Mincho" w:hAnsi="Cambria" w:cs="Times New Roman"/>
      <w:b/>
      <w:bCs/>
      <w:sz w:val="20"/>
      <w:szCs w:val="20"/>
      <w:lang w:val="en-GB"/>
    </w:rPr>
  </w:style>
  <w:style w:type="paragraph" w:styleId="EndnoteText">
    <w:name w:val="endnote text"/>
    <w:basedOn w:val="Normal"/>
    <w:link w:val="EndnoteTextChar"/>
    <w:uiPriority w:val="99"/>
    <w:semiHidden/>
    <w:unhideWhenUsed/>
    <w:rsid w:val="000C7B7F"/>
    <w:rPr>
      <w:sz w:val="20"/>
      <w:szCs w:val="20"/>
    </w:rPr>
  </w:style>
  <w:style w:type="character" w:customStyle="1" w:styleId="EndnoteTextChar">
    <w:name w:val="Endnote Text Char"/>
    <w:basedOn w:val="DefaultParagraphFont"/>
    <w:link w:val="EndnoteText"/>
    <w:uiPriority w:val="99"/>
    <w:semiHidden/>
    <w:rsid w:val="000C7B7F"/>
    <w:rPr>
      <w:rFonts w:ascii="Cambria" w:eastAsia="MS Mincho" w:hAnsi="Cambria" w:cs="Times New Roman"/>
      <w:sz w:val="20"/>
      <w:szCs w:val="20"/>
      <w:lang w:val="en-GB"/>
    </w:rPr>
  </w:style>
  <w:style w:type="character" w:styleId="EndnoteReference">
    <w:name w:val="endnote reference"/>
    <w:basedOn w:val="DefaultParagraphFont"/>
    <w:uiPriority w:val="99"/>
    <w:semiHidden/>
    <w:unhideWhenUsed/>
    <w:rsid w:val="000C7B7F"/>
    <w:rPr>
      <w:vertAlign w:val="superscript"/>
    </w:rPr>
  </w:style>
  <w:style w:type="paragraph" w:styleId="NoSpacing">
    <w:name w:val="No Spacing"/>
    <w:uiPriority w:val="1"/>
    <w:qFormat/>
    <w:rsid w:val="007D3DD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13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ederalna.ba/bhs/vijest/144897/paquet-pisao-novalicu-i-predsjedavajucim-oba-doma-pfbih" TargetMode="External"/><Relationship Id="rId1" Type="http://schemas.openxmlformats.org/officeDocument/2006/relationships/hyperlink" Target="http://ec.europa.eu/enlargement/pdf/key_documents/2015/20151110_report_bosnia_and_herzegov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92EA-9AEA-48F5-ADB5-AA3DFDEB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Ahmetovic</dc:creator>
  <cp:lastModifiedBy>elvira mujkic</cp:lastModifiedBy>
  <cp:revision>26</cp:revision>
  <dcterms:created xsi:type="dcterms:W3CDTF">2016-03-31T11:38:00Z</dcterms:created>
  <dcterms:modified xsi:type="dcterms:W3CDTF">2016-04-07T10:35:00Z</dcterms:modified>
</cp:coreProperties>
</file>